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1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 w14:paraId="5E9CC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eastAsia="黑体"/>
          <w:sz w:val="32"/>
          <w:szCs w:val="32"/>
        </w:rPr>
      </w:pPr>
    </w:p>
    <w:p w14:paraId="0B762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天津市制造业中试平台创新发展实施方案</w:t>
      </w:r>
    </w:p>
    <w:p w14:paraId="232DE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939576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为深入贯彻落实工业和信息化部、国家发展改革委《制造业中试创新发展实施意见》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工信部联科〔2024〕11号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工业和信息化部办公厅《关于进一步加快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制造业中试平台体系化布局和高水平建设的通知》（工信厅科函〔2025〕456号），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推动科技创新与产业创新深度融合，提高科技</w:t>
      </w:r>
      <w:r>
        <w:rPr>
          <w:rFonts w:eastAsia="仿宋_GB2312"/>
          <w:color w:val="auto"/>
          <w:sz w:val="32"/>
          <w:szCs w:val="32"/>
          <w:highlight w:val="none"/>
        </w:rPr>
        <w:t>成果转化和产业化水平，加快布局一批</w:t>
      </w:r>
      <w:r>
        <w:rPr>
          <w:rFonts w:hint="eastAsia" w:eastAsia="仿宋_GB2312"/>
          <w:color w:val="auto"/>
          <w:sz w:val="32"/>
          <w:szCs w:val="32"/>
          <w:highlight w:val="none"/>
        </w:rPr>
        <w:t>支撑制造业高质量发展的中试平台</w:t>
      </w:r>
      <w:r>
        <w:rPr>
          <w:rFonts w:eastAsia="仿宋_GB2312"/>
          <w:color w:val="auto"/>
          <w:sz w:val="32"/>
          <w:szCs w:val="32"/>
          <w:highlight w:val="none"/>
        </w:rPr>
        <w:t>，制定本方案。</w:t>
      </w:r>
    </w:p>
    <w:p w14:paraId="02D35F0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工作目标</w:t>
      </w:r>
    </w:p>
    <w:p w14:paraId="1E5075D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以习近平新时代中国特色社会主义思想为指导，全面贯彻党的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二十大和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二十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届历次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全会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精神，聚焦推进新型工业化核心任务，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围绕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构建现代化产业体系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立足全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市重点产业发展方向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需求，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紧扣</w:t>
      </w:r>
      <w:r>
        <w:rPr>
          <w:rFonts w:hint="eastAsia" w:eastAsia="仿宋_GB2312"/>
          <w:color w:val="auto"/>
          <w:sz w:val="32"/>
          <w:szCs w:val="32"/>
          <w:highlight w:val="none"/>
          <w:lang w:bidi="ar"/>
        </w:rPr>
        <w:t>制造业成果转化应用关键环节，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坚持需求导向、场景牵引、系统布局、因地制宜，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 w:bidi="ar"/>
        </w:rPr>
        <w:t>按照“做强一批、激活一批、补齐一批”的建设思路，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 w:bidi="ar"/>
        </w:rPr>
        <w:t>体系化布局</w:t>
      </w:r>
      <w:r>
        <w:rPr>
          <w:rFonts w:eastAsia="仿宋_GB2312"/>
          <w:color w:val="auto"/>
          <w:sz w:val="32"/>
          <w:szCs w:val="32"/>
          <w:highlight w:val="none"/>
        </w:rPr>
        <w:t>制造业中试平台，</w:t>
      </w:r>
      <w:r>
        <w:rPr>
          <w:rFonts w:hint="eastAsia" w:eastAsia="仿宋_GB2312"/>
          <w:color w:val="auto"/>
          <w:sz w:val="32"/>
          <w:szCs w:val="32"/>
          <w:highlight w:val="none"/>
        </w:rPr>
        <w:t>提高</w:t>
      </w:r>
      <w:r>
        <w:rPr>
          <w:rFonts w:eastAsia="仿宋_GB2312"/>
          <w:color w:val="auto"/>
          <w:sz w:val="32"/>
          <w:szCs w:val="32"/>
          <w:highlight w:val="none"/>
        </w:rPr>
        <w:t>制造业中试验证能力和服务水平，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优化中试发展生态，加快培育发展新质生产力。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2026年，培育建设10家以上制造业中试平台。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highlight w:val="none"/>
          <w:shd w:val="clear" w:color="auto" w:fill="FFFFFF"/>
        </w:rPr>
        <w:t>到202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highlight w:val="none"/>
          <w:shd w:val="clear" w:color="auto" w:fill="FFFFFF"/>
        </w:rPr>
        <w:t>年，在重点产业领域打造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i w:val="0"/>
          <w:color w:val="auto"/>
          <w:spacing w:val="0"/>
          <w:sz w:val="32"/>
          <w:szCs w:val="32"/>
          <w:highlight w:val="none"/>
          <w:shd w:val="clear" w:color="auto" w:fill="FFFFFF"/>
        </w:rPr>
        <w:t>家</w:t>
      </w:r>
      <w:r>
        <w:rPr>
          <w:rFonts w:hint="eastAsia" w:ascii="Times New Roman" w:hAnsi="Times New Roman" w:eastAsia="仿宋_GB2312" w:cs="Times New Roman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以上定位清晰、开放共享、特色鲜明的制造业中试平台，</w:t>
      </w:r>
      <w:r>
        <w:rPr>
          <w:rFonts w:hint="eastAsia" w:eastAsia="仿宋_GB2312" w:cs="Times New Roman"/>
          <w:i w:val="0"/>
          <w:strike w:val="0"/>
          <w:dstrike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争取更多纳入国家制造业中试平台布局，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为制造业高质量发展提供支撑。</w:t>
      </w:r>
    </w:p>
    <w:p w14:paraId="111B78C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2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二、构建中试平台体系</w:t>
      </w:r>
    </w:p>
    <w:p w14:paraId="70A3F3EF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搭建梯次培育体系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围绕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我市重点产业领域，</w:t>
      </w:r>
      <w:r>
        <w:rPr>
          <w:rFonts w:hint="eastAsia" w:ascii="仿宋_GB2312" w:eastAsia="仿宋_GB2312"/>
          <w:color w:val="auto"/>
          <w:sz w:val="32"/>
          <w:szCs w:val="32"/>
        </w:rPr>
        <w:t>系统梳理中试资源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建立制造业中试平台储备库，充实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中试平台的基础力量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制定制造业中试平台建设指引，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明确平台功能定位、建设标准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加快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一批综合性、专业化的市级制造业中试平台。对标国家级制造业中试平台标准，引导平台提升中试服务能力，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争创国家制造业中试平台。构建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储备库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市级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国家级梯次培育体系，加速创新成果产业化。</w:t>
      </w:r>
    </w:p>
    <w:p w14:paraId="5C83D19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 培育多元化建设主体。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支持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产业链龙头企业、行业优质企业联合上下游共建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中试平台，提供应用场景和试验环境，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性能工艺改进、设备应用验证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等中试服务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，解决行业关键共性技术难题。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支持高校、科研院所及新型研发机构等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主导建设中试平台，依托自有科研资源，共享仪器设备、拓展中试功能，提供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专业化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服务。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支持政府投资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专业团队运营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建设中试平台，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面向重点产业和产业集聚区，提供综合性中试服务。</w:t>
      </w:r>
    </w:p>
    <w:p w14:paraId="648307E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. 分类推进平台建设。做强绿色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石化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、生物医药等领域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优质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中试平台，推动平台开展数字化、智能化改造，提升中试服务能力，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引导平台向高水平迈进。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激活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电子信息、新材料等领域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现有创新平台，鼓励高校、科研院所充分利用闲置资源，共享设备、场地，对外提供中试服务；引导有产能余量的企业开放自有中试资源，释放富余产能，实现资源充分利用。补齐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机器人、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循环经济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供给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薄弱领域短板，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稳步有序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布局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，完善中试配套功能，打通科技成果转化关键堵点。</w:t>
      </w:r>
    </w:p>
    <w:p w14:paraId="490ADD7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三、加强中试平台布局</w:t>
      </w:r>
    </w:p>
    <w:p w14:paraId="5B2E56D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eastAsia="仿宋_GB2312" w:cs="Times New Roman"/>
          <w:color w:val="0000FF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优化产业中试布局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color="auto" w:fill="FFFFFF"/>
        </w:rPr>
        <w:t>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现代工业产业体系，依托12条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重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点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产业链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聚焦成果转化应用关键环节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，因地制宜，分步推进中试平台建设。依托绿色石化、生物医药、汽车、装备制造等领域行业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龙头企业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、科研院所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，建设一批技术领先、服务突出的优势中试平台，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带动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产业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高端化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发展。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围绕新一代信息技术，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充分利用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国家芯火双创平台、微纳光电子技术重点实验室创新能力，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建设中试平台，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推动新技术实现规模化应用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依托新能源、新材料、航空航天行业领军企业，建设专业化中试平台，推动技术成果转化为工艺包和成套设备，提升产品稳定性和可靠性。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充分发挥我市生物制造中试优势，建设智能化中试平台，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推进生物制造技术转化落地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前瞻布局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生命科学、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新型能源、空天深海等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未来产业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高潜力赛道，加快颠覆性技术中试熟化与应用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2153526E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完善园区中试布局。聚焦主题园区主导产业，打造专业化中试平台，提升中试服务效能，推动科技成果中试熟化、工程化验证和产业化落地，夯实园区产业发展基础。依托高新区、工业园区重点产业基础，结合共性和个性化需求，推动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综合性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、专业化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中试平台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协同互补</w:t>
      </w:r>
      <w:r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，提供跨行业、跨领域高水平中试服务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，强化上下游协同联动，提升园区产业配套水平。围绕园区产业培育方向，前瞻布局中试载体，完善园区公共服务功能，助力招商引资，培育新的园区发展增长点。</w:t>
      </w:r>
    </w:p>
    <w:p w14:paraId="4BB89577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 推动京津冀中试资源协同共享。落实京津冀协同发展战略，抢抓北京（京津冀）国际科技创新中心扩围机遇，对接北京创新策源优势，发挥我市中试转化功能，服务京津冀“六链五群”建设。深化“京津研发、区域转化”模式，推进三地共建共享中试资源，在人工智能、机器人、生物医药等重点领域承接科技成果外溢，推动中试平台由本地服务向跨区域协同升级。整合区域创新资源，促进仪器设备、试验场地、技术服务开放共享，为三地企业、高校、科研院所提供全链条中试服务，支持联合开展研发、中试和产业化，构建协同高效、互联互通的区域中试发展模式。</w:t>
      </w:r>
    </w:p>
    <w:p w14:paraId="7518A8A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22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四、建强中试服务能力</w:t>
      </w:r>
    </w:p>
    <w:p w14:paraId="24A5742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eastAsia="楷体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 强化试验基础设施。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支持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企业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开展中试线和试验场地建设，配备技术熟化、工艺验证、样品试制、放大试产所需的试验设备、测试仪器、基础软件和工业软件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，完善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</w:rPr>
        <w:t>安全、环保等配套设施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。鼓励中试平台优化试验环境、丰富应用场景，构建完备的硬件支撑体系，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提升创新成果的工程化和产业化能力。</w:t>
      </w:r>
    </w:p>
    <w:p w14:paraId="0998DAF9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. 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打造中试专业化能力。支持企业充分利用</w:t>
      </w:r>
      <w:r>
        <w:rPr>
          <w:rFonts w:hint="default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试验检测、设计仿真、质量管理等软硬件，</w:t>
      </w:r>
      <w:r>
        <w:rPr>
          <w:rFonts w:hint="eastAsia" w:eastAsia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提升工程开发、设计验证、工艺改进、样品试制等服务能力，突破一批关键技术、工艺、标准和解决方案。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加强新一代信息技术融合应用，推动数字技术在工艺工装测试、缺陷检测、预测性维护等试验场景的应用，提高中试数字化智能化水平。</w:t>
      </w:r>
    </w:p>
    <w:p w14:paraId="569A43ED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 完善管理机制。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推动中试平台优化运营管理机制，强化基础运维、技术服务、产权管理及风险防控管理。明确技术转让、商业秘密等内部管理规则，明晰知识产权归属和收益分配。规范对外服务程序，提升中试服务专业化、规范化水平。</w:t>
      </w:r>
    </w:p>
    <w:p w14:paraId="73690A0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 强化市场化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运营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。丰富研发及服务模式，探索合作研发、技术入股等市场化途径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拓展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服务范围，提供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技术研发、场景应用、市场对接、咨询培训等一站式服务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，提高研发及服务效能。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构建多元化的收入体系，培育成熟的商业模式，增强自我造血功能，实现可持续发展。</w:t>
      </w:r>
    </w:p>
    <w:p w14:paraId="2F7AE42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五、优化中试发展生态</w:t>
      </w:r>
    </w:p>
    <w:p w14:paraId="00C17B42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科技成果转化</w:t>
      </w:r>
      <w:r>
        <w:rPr>
          <w:rFonts w:hint="eastAsia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体系。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提升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科技成果转化能力，搭建成果转化服务平台，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推动概念验证、小试中试、技术转移平台有效衔接，完善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“应用基础研究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—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概念验证</w:t>
      </w:r>
      <w:bookmarkStart w:id="0" w:name="OLE_LINK1"/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—</w:t>
      </w:r>
      <w:bookmarkEnd w:id="0"/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中试熟化</w:t>
      </w:r>
      <w:r>
        <w:rPr>
          <w:rFonts w:eastAsia="仿宋_GB2312"/>
          <w:color w:val="auto"/>
          <w:sz w:val="32"/>
          <w:szCs w:val="32"/>
          <w:highlight w:val="none"/>
          <w:shd w:val="clear" w:color="auto" w:fill="FFFFFF"/>
        </w:rPr>
        <w:t>—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产业化”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全链条科技成果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转化服务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体系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 w:eastAsia="zh-CN"/>
        </w:rPr>
        <w:t>。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/>
        </w:rPr>
        <w:t>建设一批科技型企业孵化器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" w:eastAsia="zh-CN"/>
        </w:rPr>
        <w:t>、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val="en-US" w:eastAsia="zh-CN"/>
        </w:rPr>
        <w:t>产业技术研究院和制造业中试平台，推动科技成果从实验室迈向产业化。</w:t>
      </w:r>
    </w:p>
    <w:p w14:paraId="636593DA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eastAsia="仿宋_GB2312"/>
          <w:strike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 xml:space="preserve">2. </w:t>
      </w:r>
      <w:bookmarkStart w:id="1" w:name="OLE_LINK4"/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健全专业人才体系。探索先进的用人管理机制，完善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人才激励机制，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激发人才创新活力，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构建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涵盖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经营管理、科研攻关、试验发展</w:t>
      </w:r>
      <w:r>
        <w:rPr>
          <w:rFonts w:hint="eastAsia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成果转化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等多领域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人才队伍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。推动平台与职业院校、高校共建实训基地，开展“订单式”人才培养，定向输送技术骨干，培养善于</w:t>
      </w:r>
      <w:r>
        <w:rPr>
          <w:rFonts w:hint="default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解决复杂工程问题的卓越工程师。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2"/>
          <w:szCs w:val="32"/>
          <w:highlight w:val="none"/>
          <w:lang w:val="en-US" w:eastAsia="zh-CN"/>
        </w:rPr>
        <w:t>推行技术经理人制度，深化供需对接，推动中试进程。</w:t>
      </w:r>
    </w:p>
    <w:p w14:paraId="1440BBC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3.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加强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金融服务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。鼓励银行、投资机构等金融机构为中试平台建设提供金融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服务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，支持融资租赁公司为中试平台设备提供融资服务。支持金融机构发展中试险等业务，探索开发符合科技创新融资需求的金融产品，围绕中试做好金融服务。</w:t>
      </w:r>
      <w:bookmarkEnd w:id="1"/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发挥海河产业基金</w:t>
      </w:r>
      <w:r>
        <w:rPr>
          <w:rFonts w:hint="eastAsia" w:ascii="仿宋_GB2312" w:hAnsi="Helvetica" w:eastAsia="仿宋_GB2312" w:cs="宋体"/>
          <w:color w:val="auto"/>
          <w:sz w:val="32"/>
          <w:szCs w:val="32"/>
        </w:rPr>
        <w:t>、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市级</w:t>
      </w:r>
      <w:r>
        <w:rPr>
          <w:rFonts w:hint="eastAsia" w:ascii="仿宋_GB2312" w:hAnsi="Helvetica" w:eastAsia="仿宋_GB2312" w:cs="宋体"/>
          <w:color w:val="auto"/>
          <w:sz w:val="32"/>
          <w:szCs w:val="32"/>
        </w:rPr>
        <w:t>天使基金</w:t>
      </w:r>
      <w:bookmarkStart w:id="2" w:name="OLE_LINK28"/>
      <w:r>
        <w:rPr>
          <w:rFonts w:ascii="仿宋_GB2312" w:hAnsi="Helvetica" w:eastAsia="仿宋_GB2312" w:cs="宋体"/>
          <w:color w:val="auto"/>
          <w:sz w:val="32"/>
          <w:szCs w:val="32"/>
        </w:rPr>
        <w:t>等基金的</w:t>
      </w:r>
      <w:bookmarkEnd w:id="2"/>
      <w:r>
        <w:rPr>
          <w:rFonts w:ascii="仿宋_GB2312" w:hAnsi="Helvetica" w:eastAsia="仿宋_GB2312" w:cs="宋体"/>
          <w:color w:val="auto"/>
          <w:sz w:val="32"/>
          <w:szCs w:val="32"/>
        </w:rPr>
        <w:t>引导与放大作用</w:t>
      </w:r>
      <w:r>
        <w:rPr>
          <w:rFonts w:hint="eastAsia" w:ascii="仿宋_GB2312" w:hAnsi="Helvetica" w:eastAsia="仿宋_GB2312" w:cs="宋体"/>
          <w:color w:val="auto"/>
          <w:sz w:val="32"/>
          <w:szCs w:val="32"/>
        </w:rPr>
        <w:t>，将中试平台纳入基金投资范畴，通过阶段参股、跟进投资等方式撬动社会资本。</w:t>
      </w:r>
    </w:p>
    <w:p w14:paraId="020545D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2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. 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强化平台管理。建立市级中试平台储备库，实行动态调整。培育建设一批天津市制造业中试平台，探索科学合理的评价指标体系，对中试平台实行优胜劣汰动态管理。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发布制造业中试平台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和中试资源对外服务清单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，搭建对接平台，有针对性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的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组织供需对接活动，推动中试机构与企业、高校建立稳固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的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合作关系，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加强产学研合作，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促进科技成果转化。挖掘典型案例，总结推广中试平台建设的成功经验和有效做法。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组织开展</w:t>
      </w:r>
      <w:r>
        <w:rPr>
          <w:rFonts w:hint="default" w:ascii="仿宋_GB2312" w:hAnsi="Helvetica" w:eastAsia="仿宋_GB2312" w:cs="宋体"/>
          <w:color w:val="auto"/>
          <w:sz w:val="32"/>
          <w:szCs w:val="32"/>
        </w:rPr>
        <w:t>经验交流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知识产权服务、金融对接等活动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推动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中试平台</w:t>
      </w:r>
      <w:r>
        <w:rPr>
          <w:rFonts w:hint="eastAsia" w:ascii="仿宋_GB2312" w:hAnsi="Helvetica" w:eastAsia="仿宋_GB2312" w:cs="宋体"/>
          <w:color w:val="auto"/>
          <w:sz w:val="32"/>
          <w:szCs w:val="32"/>
          <w:lang w:val="en-US" w:eastAsia="zh-CN"/>
        </w:rPr>
        <w:t>提升服务水平</w:t>
      </w:r>
      <w:r>
        <w:rPr>
          <w:rFonts w:hint="default" w:ascii="仿宋_GB2312" w:hAnsi="Helvetica" w:eastAsia="仿宋_GB2312" w:cs="宋体"/>
          <w:color w:val="auto"/>
          <w:sz w:val="32"/>
          <w:szCs w:val="32"/>
          <w:lang w:val="en-US" w:eastAsia="zh-CN"/>
        </w:rPr>
        <w:t>。</w:t>
      </w:r>
    </w:p>
    <w:p w14:paraId="1675A91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eastAsia="黑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.</w:t>
      </w:r>
      <w:r>
        <w:rPr>
          <w:rFonts w:hint="eastAsia" w:ascii="Times New Roman" w:hAnsi="Times New Roman" w:eastAsia="黑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建立统筹协同工作机制。建立健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全</w:t>
      </w:r>
      <w:bookmarkStart w:id="3" w:name="_GoBack"/>
      <w:bookmarkEnd w:id="3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工信、发改、科技、教育、财政、金融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、知识产权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等市级部门协同工作机制，在平台建设、政策支持、要素保障等方面形成合力，统筹推进制造业中试平台建设。建立完善市区联动机制，各区要结合主导产业和特色产业园区发展，加大政策支持，在重点领域加快布局一批中试平台，支撑现代化产业体系建设。</w:t>
      </w:r>
    </w:p>
    <w:p w14:paraId="1B492F1E">
      <w:pP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br w:type="page"/>
      </w:r>
    </w:p>
    <w:p w14:paraId="4E0613B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77245E2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227EDB7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7E757F3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300E0AC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6A5D232D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D0DD77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10C6AEB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7F61F7D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2FF28C5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6B68AD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6ADE676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15D0724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634A21B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0AACE3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20861E5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6631980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2836FBCC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708E1347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54B3D503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62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49C136E3">
      <w:pPr>
        <w:spacing w:line="58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pt;height:0pt;width:442.2pt;z-index:251661312;mso-width-relative:page;mso-height-relative:page;" filled="f" stroked="t" coordsize="21600,21600" o:gfxdata="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OCWZdIAAAAGAQAADwAAAAAAAAABACAAAAAiAAAAZHJzL2Rvd25yZXYueG1sUEsBAhQAFAAA&#10;AAgAh07iQG6hSI31AQAA5QMAAA4AAAAAAAAAAQAgAAAAIQEAAGRycy9lMm9Eb2MueG1sUEsFBgAA&#10;AAAGAAYAWQEAAIg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抄送：市教委，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市科技局</w:t>
      </w:r>
      <w:r>
        <w:rPr>
          <w:rFonts w:hint="eastAsia" w:ascii="仿宋_GB2312" w:eastAsia="仿宋_GB2312"/>
          <w:sz w:val="28"/>
          <w:szCs w:val="28"/>
        </w:rPr>
        <w:t>，市知识产权局，市财政局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市地方金融局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</w:p>
    <w:p w14:paraId="59D853FB">
      <w:pPr>
        <w:spacing w:line="560" w:lineRule="exact"/>
        <w:ind w:right="201" w:rightChars="100" w:firstLine="1068" w:firstLineChars="394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国家金融局天津监管局</w:t>
      </w:r>
      <w:r>
        <w:rPr>
          <w:rFonts w:hint="eastAsia" w:ascii="仿宋_GB2312" w:eastAsia="仿宋_GB2312"/>
          <w:sz w:val="28"/>
          <w:szCs w:val="28"/>
          <w:lang w:eastAsia="zh-CN"/>
        </w:rPr>
        <w:t>，天津证监局，中国人民银行天津市分行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66AEC6A2">
      <w:pPr>
        <w:tabs>
          <w:tab w:val="left" w:pos="8643"/>
        </w:tabs>
        <w:spacing w:line="560" w:lineRule="exact"/>
        <w:ind w:right="201" w:rightChars="100" w:firstLine="271" w:firstLineChars="100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6pt;height:0pt;width:442.2pt;z-index:251660288;mso-width-relative:page;mso-height-relative:page;" filled="f" stroked="t" coordsize="21600,21600" o:gfxdata="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orr7rtIAAAAEAQAADwAAAAAAAAABACAAAAAiAAAAZHJzL2Rvd25yZXYueG1sUEsBAhQAFAAA&#10;AAgAh07iQDYP+8n1AQAA5A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405130</wp:posOffset>
                </wp:positionV>
                <wp:extent cx="5615940" cy="0"/>
                <wp:effectExtent l="17780" t="16510" r="14605" b="12065"/>
                <wp:wrapNone/>
                <wp:docPr id="1859918798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31.9pt;height:0pt;width:442.2pt;z-index:251659264;mso-width-relative:page;mso-height-relative:page;" filled="f" stroked="t" coordsize="21600,21600" o:gfxdata="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6UXgltMAAAAGAQAA&#10;DwAAAAAAAAABACAAAAAiAAAAZHJzL2Rvd25yZXYueG1sUEsBAhQAFAAAAAgAh07iQGpVcyHlAQAA&#10;tgMAAA4AAAAAAAAAAQAgAAAAIg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天津市工业和信息化</w:t>
      </w:r>
      <w:r>
        <w:rPr>
          <w:rFonts w:ascii="仿宋_GB2312" w:eastAsia="仿宋_GB2312"/>
          <w:sz w:val="28"/>
          <w:szCs w:val="28"/>
        </w:rPr>
        <w:t>局</w:t>
      </w:r>
      <w:r>
        <w:rPr>
          <w:rFonts w:hint="eastAsia" w:ascii="仿宋_GB2312" w:eastAsia="仿宋_GB2312"/>
          <w:sz w:val="28"/>
          <w:szCs w:val="28"/>
        </w:rPr>
        <w:t xml:space="preserve">办公室              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/>
          <w:sz w:val="28"/>
          <w:szCs w:val="28"/>
          <w:lang w:val="en-US" w:eastAsia="zh-CN"/>
        </w:rPr>
        <w:t>26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7</w:t>
      </w:r>
      <w:r>
        <w:rPr>
          <w:rFonts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</w:rPr>
        <w:t>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38E6D">
    <w:pPr>
      <w:pStyle w:val="6"/>
      <w:framePr w:w="1310" w:h="567" w:hRule="exact" w:wrap="around" w:vAnchor="page" w:hAnchor="margin" w:xAlign="outside" w:y="15140"/>
      <w:spacing w:line="280" w:lineRule="exact"/>
      <w:jc w:val="center"/>
      <w:rPr>
        <w:rStyle w:val="13"/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3"/>
        <w:rFonts w:ascii="宋体" w:hAnsi="宋体"/>
        <w:sz w:val="28"/>
        <w:szCs w:val="28"/>
        <w:lang w:val="en-US" w:eastAsia="zh-CN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5B3EB1D6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F27F5">
    <w:pPr>
      <w:pStyle w:val="6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02CA05A4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201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5MGU3NWJlZmQ3ZThmNzFiYWU3ZjZkMTZhYWJkMzgifQ=="/>
  </w:docVars>
  <w:rsids>
    <w:rsidRoot w:val="001F581A"/>
    <w:rsid w:val="00002F68"/>
    <w:rsid w:val="000144F3"/>
    <w:rsid w:val="00020C56"/>
    <w:rsid w:val="00023CF7"/>
    <w:rsid w:val="00046F69"/>
    <w:rsid w:val="00047EED"/>
    <w:rsid w:val="0006656E"/>
    <w:rsid w:val="00072218"/>
    <w:rsid w:val="00083F8C"/>
    <w:rsid w:val="000A4124"/>
    <w:rsid w:val="000B6B4C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506EAE"/>
    <w:rsid w:val="0055024E"/>
    <w:rsid w:val="00560A51"/>
    <w:rsid w:val="00561059"/>
    <w:rsid w:val="0057569C"/>
    <w:rsid w:val="00584234"/>
    <w:rsid w:val="005860B8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80B93"/>
    <w:rsid w:val="007B2D83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80AFD"/>
    <w:rsid w:val="0088379F"/>
    <w:rsid w:val="008C1364"/>
    <w:rsid w:val="008D28D9"/>
    <w:rsid w:val="008D303B"/>
    <w:rsid w:val="00901F62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44F3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8783B"/>
    <w:rsid w:val="00A95AAA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E4482"/>
    <w:rsid w:val="00CE6DAF"/>
    <w:rsid w:val="00CE70B8"/>
    <w:rsid w:val="00CE7C32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15D10"/>
    <w:rsid w:val="00E34793"/>
    <w:rsid w:val="00E53B2F"/>
    <w:rsid w:val="00E5598D"/>
    <w:rsid w:val="00E6116D"/>
    <w:rsid w:val="00E63ACA"/>
    <w:rsid w:val="00E6431C"/>
    <w:rsid w:val="00E65710"/>
    <w:rsid w:val="00E7395C"/>
    <w:rsid w:val="00E822E8"/>
    <w:rsid w:val="00E94D61"/>
    <w:rsid w:val="00EA487E"/>
    <w:rsid w:val="00EB2C93"/>
    <w:rsid w:val="00ED5645"/>
    <w:rsid w:val="00EF6FB6"/>
    <w:rsid w:val="00F029BA"/>
    <w:rsid w:val="00F1314D"/>
    <w:rsid w:val="00F21126"/>
    <w:rsid w:val="00F479D1"/>
    <w:rsid w:val="00F50C1D"/>
    <w:rsid w:val="00F86262"/>
    <w:rsid w:val="00F86DDA"/>
    <w:rsid w:val="00F97090"/>
    <w:rsid w:val="00FC24F7"/>
    <w:rsid w:val="027F2C63"/>
    <w:rsid w:val="031C4239"/>
    <w:rsid w:val="033802B8"/>
    <w:rsid w:val="03FE4A0D"/>
    <w:rsid w:val="06692FC7"/>
    <w:rsid w:val="0A4B28AB"/>
    <w:rsid w:val="0B0440A9"/>
    <w:rsid w:val="0EC21B9D"/>
    <w:rsid w:val="104C723B"/>
    <w:rsid w:val="111C1C1F"/>
    <w:rsid w:val="142B2A7B"/>
    <w:rsid w:val="159F2552"/>
    <w:rsid w:val="162E01F8"/>
    <w:rsid w:val="177D2370"/>
    <w:rsid w:val="180B31C1"/>
    <w:rsid w:val="1B1578C0"/>
    <w:rsid w:val="1FF736CD"/>
    <w:rsid w:val="1FFC0743"/>
    <w:rsid w:val="20580614"/>
    <w:rsid w:val="22901471"/>
    <w:rsid w:val="25D6E1A3"/>
    <w:rsid w:val="25F328F1"/>
    <w:rsid w:val="27DF5028"/>
    <w:rsid w:val="2A0D1499"/>
    <w:rsid w:val="2AF70525"/>
    <w:rsid w:val="2C3231D3"/>
    <w:rsid w:val="2D7B5DC2"/>
    <w:rsid w:val="30F12491"/>
    <w:rsid w:val="3389173F"/>
    <w:rsid w:val="351F0AE1"/>
    <w:rsid w:val="35203BA3"/>
    <w:rsid w:val="35D6039F"/>
    <w:rsid w:val="39576BEE"/>
    <w:rsid w:val="3D335D19"/>
    <w:rsid w:val="44016F65"/>
    <w:rsid w:val="449E6CF1"/>
    <w:rsid w:val="44DC6BAF"/>
    <w:rsid w:val="4C2573F3"/>
    <w:rsid w:val="4C365693"/>
    <w:rsid w:val="4CA33653"/>
    <w:rsid w:val="50882B1B"/>
    <w:rsid w:val="52E23434"/>
    <w:rsid w:val="53F9064F"/>
    <w:rsid w:val="55072029"/>
    <w:rsid w:val="57CB0CEC"/>
    <w:rsid w:val="5AEE383A"/>
    <w:rsid w:val="5EE0438B"/>
    <w:rsid w:val="5F3609A1"/>
    <w:rsid w:val="648732DF"/>
    <w:rsid w:val="65EC04A7"/>
    <w:rsid w:val="684B235D"/>
    <w:rsid w:val="6D29634F"/>
    <w:rsid w:val="6D947E8C"/>
    <w:rsid w:val="6FE5BC29"/>
    <w:rsid w:val="701010E4"/>
    <w:rsid w:val="71EB2918"/>
    <w:rsid w:val="72D360DB"/>
    <w:rsid w:val="74284654"/>
    <w:rsid w:val="74C77115"/>
    <w:rsid w:val="79E7E117"/>
    <w:rsid w:val="7BD409A2"/>
    <w:rsid w:val="7FCB11D5"/>
    <w:rsid w:val="DEFD7136"/>
    <w:rsid w:val="F3B76044"/>
    <w:rsid w:val="FEFF9A2E"/>
    <w:rsid w:val="FF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1.5pt"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文星仿宋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3"/>
    <w:next w:val="1"/>
    <w:qFormat/>
    <w:uiPriority w:val="0"/>
    <w:pPr>
      <w:spacing w:after="0"/>
      <w:ind w:firstLine="420"/>
    </w:pPr>
    <w:rPr>
      <w:rFonts w:cs="宋体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5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6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7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8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9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0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1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kylin\I:\home\kylin\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7</Pages>
  <Words>3297</Words>
  <Characters>3333</Characters>
  <Lines>9</Lines>
  <Paragraphs>2</Paragraphs>
  <TotalTime>28</TotalTime>
  <ScaleCrop>false</ScaleCrop>
  <LinksUpToDate>false</LinksUpToDate>
  <CharactersWithSpaces>3367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2026-02-05T16:07:00Z</dcterms:created>
  <dc:creator>办公室</dc:creator>
  <cp:lastModifiedBy>英雄的黎明</cp:lastModifiedBy>
  <cp:lastPrinted>2026-05-10T02:21:00Z</cp:lastPrinted>
  <dcterms:modified xsi:type="dcterms:W3CDTF">2026-05-13T08:29:29Z</dcterms:modified>
  <dc:title>津经[2003]号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4E85052B03344D49AFA5A6FCC7C623D4_13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