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overflowPunct w:val="0"/>
        <w:adjustRightInd w:val="0"/>
        <w:snapToGrid w:val="0"/>
        <w:spacing w:after="0" w:line="58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天津市境外职业资格认可目录（2023年版）</w:t>
      </w:r>
    </w:p>
    <w:tbl>
      <w:tblPr>
        <w:tblStyle w:val="12"/>
        <w:tblpPr w:leftFromText="180" w:rightFromText="180" w:vertAnchor="text" w:horzAnchor="page" w:tblpXSpec="center" w:tblpY="935"/>
        <w:tblOverlap w:val="never"/>
        <w:tblW w:w="13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3254"/>
        <w:gridCol w:w="1109"/>
        <w:gridCol w:w="2896"/>
        <w:gridCol w:w="1177"/>
        <w:gridCol w:w="4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境外职业资格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证书名称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证书颁发机构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领域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注册专业规划师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中国香港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香港规划师注册管理局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从事规划相关工作。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符合相应职称系列（专业）副高级的学历、年限等基本标准条件，可对应为副高级职称。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城市规划师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中国澳门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澳门土地工务运输局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从事规划相关工作。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符合相应职称系列（专业）副高级的学历、年限等基本标准条件，可对应为副高级职称。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CFA特许金融分析师证书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特许金融分析师协会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Chartered Financial Analyst（CFA）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Institute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从事金融、投资和管理相关工作。符合相应职称系列（专业）中级的学历、年限等基本标准条件，可对应为中级职称。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CMA注册管理会计师资格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IMA管理会计师协会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  <w:t>Institute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  <w:t>of Management Accountants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金融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从事金融、会计和财务管理相关工作。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USCPA美国注册会计师证书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美国注册会计师协会</w:t>
            </w:r>
          </w:p>
          <w:p>
            <w:pPr>
              <w:pStyle w:val="9"/>
              <w:spacing w:before="0" w:after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American Institute of CPAs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从事金融、会计和财务管理相关工作。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FSA北美精算师协会正会员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北美精算师协会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Society of Actuaries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从事金融、保险和投资相关工作。符合相应职称系列（专业）中级的学历、年限等基本标准条件，可对应为中级职称。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ASA北美精算师协会准会员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北美精算师协会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Society of Actuaries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从事金融、保险和投资相关工作。符合相应职称系列（专业）中级的学历、年限等基本标准条件，可对应为中级职称。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FRM金融风险管理师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全球风险管理专业人士协会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Global Association of Risk Professionals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金融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从事金融风险等相关工作（需要有两年相关工作经验）。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ACCA会计师证书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特许公认会计师公会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Association of Chartered Certified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Accountants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金融、会计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从事金融、会计和财务管理相关工作。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符合相应职称系列（专业）中级的学历、年限等基本标准条件，可对应为中级职称。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AIA会员资格证书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英国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国际会计师公会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The Association of International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Accountants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从事金融、会计和财务管理相关工作。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ACA英格兰及威尔士特许会计师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英国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英格兰及威尔士特许会计师协会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The Institute of Chartered Accountants in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England and Wales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从事金融、会计和财务管理相关工作。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FIA/FFA 英国正精算师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英国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英国精算师协会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Institute and Faculty of Actuaries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从事金融、保险和投资相关工作。符合相应职称系列（专业）中级的学历、年限等基本标准条件，可对应为中级职称。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AIA/AFA 英国准精算师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英国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英国精算师协会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Institute and Faculty of Actuaries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从事金融、保险和投资相关工作。符合相应职称系列（专业）中级的学历、年限等基本标准条件，可对应为中级职称。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CPA澳洲注册会计师资格（注册及资深注册会计师）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澳大利亚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澳洲会计师公会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Certified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Practising Accountant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(CPA)Australia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金融、会计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从事金融、会计和财务管理相关工作。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符合相应职称系列（专业）中级的学历、年限等基本标准条件，可对应为中级职称。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IPA会计师资格（公共及资深会计师）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公共会计师协会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Institute of Public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Accountants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从事金融、会计和财务管理相关工作。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香港注册会计师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中国香港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香港会计师公会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从事金融、会计和财务管理相关工作。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IEEE会士证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（Fe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" w:eastAsia="zh-CN"/>
              </w:rPr>
              <w:t>llow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电气电子工程师学会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" w:eastAsia="zh-CN"/>
              </w:rPr>
              <w:t xml:space="preserve">     The Institute of Electrical and Electronics Engineers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科技、工程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、信息技术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从事电气及电子工程、计算机工程、航空航天、生物科技、计算机工程、新能源、地理信息系统、神经网络和无线通信等相关技术研究和应用实践等相关工作。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符合相应职称系列（专业）副高级的学历、年限等基本标准条件，可对应为副高级职称。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IEEE高级会员证书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（Senior Member）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电气电子工程师学会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" w:eastAsia="zh-CN"/>
              </w:rPr>
              <w:t xml:space="preserve">     The Institute of Electrical and Electronics Engineers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科技、工程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、信息技术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从事电气及电子工程、计算机工程、航空航天、生物科技、计算机工程、新能源、地理信息系统、神经网络和无线通信等相关技术研究和应用实践等相关工作。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符合相应职称系列（专业）副高级的学历、年限等基本标准条件，可对应为副高级职称。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Kubernetes应用程序开发者认证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云原生计算基金会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Cloud Native Computing Foundation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从事云计算相关工作（需要有两年相关工作经验）。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Kubernetes管理员认证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云原生计算基金会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Cloud Native Computing Foundation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从事云计算相关工作（需要有两年相关工作经验）。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Kubernetes安全专家认证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云原生计算基金会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Cloud Native Computing Foundation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从事云计算相关工作（需要有两年相关工作经验）。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22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亚马逊云科技专业级解决方案架构师认证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亚马逊云科技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Amazon Web Services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从事云计算相关工作（需要有两年相关工作经验）。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23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DevOps工程师专家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微软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公司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Microsoft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从事IT开发、信息管理相关工作（需要有两年相关工作经验）。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24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ITIL资格证书（专家级别及以上）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希腊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希腊培思特国际认证中心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PeopleCert International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从事IT开发、信息管理相关工作（需要有两年相关工作经验）。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药剂师（执业药师）资格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澳大利亚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澳洲卫生执业者管理局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Australian Health Practitioner Regulation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Agency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医疗健康服务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从事药剂相关工作；执业药师须在我市药监主管部门注册（需要有两年相关工作经验）。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26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药剂师（执业药师）资格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英国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英国药政总局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General Pharmaceutical Council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医疗健康服务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从事药剂相关工作；执业药师须在我市药监主管部门注册（需要有两年相关工作经验）。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27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药剂师（执业药师）资格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中国香港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香港药剂业及毒药管理局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医疗健康服务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从事药剂相关工作；执业药师须在我市药监主管部门注册（需要有两年相关工作经验）。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footerReference r:id="rId4" w:type="even"/>
      <w:pgSz w:w="16838" w:h="11905" w:orient="landscape"/>
      <w:pgMar w:top="1531" w:right="1440" w:bottom="1531" w:left="1440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BE51AF-B089-4F3E-8CCE-C588B69350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8ED0F15-7096-4642-B04F-492DE648DD7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C71DA8B-3916-4D9A-8A95-0D6EEF8DDC3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15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5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E1B5278"/>
    <w:rsid w:val="51BF1556"/>
    <w:rsid w:val="57F38C8A"/>
    <w:rsid w:val="5B7D5257"/>
    <w:rsid w:val="5E7DEA82"/>
    <w:rsid w:val="7AE7CC46"/>
    <w:rsid w:val="7B0A3622"/>
    <w:rsid w:val="7B77D0A4"/>
    <w:rsid w:val="7BDFA08C"/>
    <w:rsid w:val="7DDAF8BA"/>
    <w:rsid w:val="7E5EB1C3"/>
    <w:rsid w:val="7E6F19F4"/>
    <w:rsid w:val="7F2F22B8"/>
    <w:rsid w:val="AFE936C7"/>
    <w:rsid w:val="CBFB5A05"/>
    <w:rsid w:val="DDFBA9EA"/>
    <w:rsid w:val="DFA6EEF4"/>
    <w:rsid w:val="E7F78BE5"/>
    <w:rsid w:val="EF6FB2CA"/>
    <w:rsid w:val="EFAFBF7A"/>
    <w:rsid w:val="F7975D07"/>
    <w:rsid w:val="FEB5B971"/>
    <w:rsid w:val="FEBDCCD6"/>
    <w:rsid w:val="FEF10AA8"/>
    <w:rsid w:val="FF5BD5EB"/>
    <w:rsid w:val="FF7BD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qFormat/>
    <w:uiPriority w:val="0"/>
    <w:pPr>
      <w:widowControl w:val="0"/>
      <w:spacing w:after="120" w:line="480" w:lineRule="auto"/>
      <w:ind w:left="36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5"/>
    <w:qFormat/>
    <w:uiPriority w:val="0"/>
    <w:pPr>
      <w:jc w:val="center"/>
    </w:pPr>
    <w:rPr>
      <w:sz w:val="44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Indent"/>
    <w:basedOn w:val="1"/>
    <w:qFormat/>
    <w:uiPriority w:val="0"/>
    <w:pPr>
      <w:ind w:firstLine="360"/>
    </w:pPr>
  </w:style>
  <w:style w:type="paragraph" w:styleId="7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qFormat/>
    <w:uiPriority w:val="0"/>
    <w:pPr>
      <w:spacing w:before="240" w:beforeLines="0" w:beforeAutospacing="0" w:after="60" w:afterLines="0" w:afterAutospacing="0"/>
      <w:jc w:val="left"/>
      <w:outlineLvl w:val="0"/>
    </w:pPr>
    <w:rPr>
      <w:rFonts w:ascii="Arial" w:hAnsi="Arial" w:eastAsia="宋体"/>
      <w:b/>
      <w:sz w:val="32"/>
    </w:rPr>
  </w:style>
  <w:style w:type="paragraph" w:styleId="10">
    <w:name w:val="Body Text First Indent"/>
    <w:basedOn w:val="4"/>
    <w:qFormat/>
    <w:uiPriority w:val="99"/>
    <w:pPr>
      <w:spacing w:line="560" w:lineRule="exact"/>
      <w:ind w:firstLine="721" w:firstLineChars="200"/>
    </w:pPr>
    <w:rPr>
      <w:rFonts w:eastAsia="仿宋_GB2312"/>
      <w:sz w:val="32"/>
    </w:rPr>
  </w:style>
  <w:style w:type="paragraph" w:styleId="11">
    <w:name w:val="Body Text First Indent 2"/>
    <w:basedOn w:val="6"/>
    <w:qFormat/>
    <w:uiPriority w:val="0"/>
    <w:pPr>
      <w:spacing w:line="360" w:lineRule="auto"/>
      <w:ind w:firstLine="420" w:firstLineChars="200"/>
    </w:pPr>
    <w:rPr>
      <w:rFonts w:eastAsia="仿宋_GB2312"/>
      <w:sz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customStyle="1" w:styleId="16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7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8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9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0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1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2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3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4</Pages>
  <Words>3660</Words>
  <Characters>4478</Characters>
  <Lines>1</Lines>
  <Paragraphs>1</Paragraphs>
  <TotalTime>17</TotalTime>
  <ScaleCrop>false</ScaleCrop>
  <LinksUpToDate>false</LinksUpToDate>
  <CharactersWithSpaces>4750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2020-09-18T22:56:00Z</dcterms:created>
  <dc:creator>linhong</dc:creator>
  <cp:lastModifiedBy>Yan</cp:lastModifiedBy>
  <cp:lastPrinted>2024-01-03T10:29:00Z</cp:lastPrinted>
  <dcterms:modified xsi:type="dcterms:W3CDTF">2024-08-05T10:04:39Z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D9A913BE70A041FCBDE1A361F18282A3_13</vt:lpwstr>
  </property>
</Properties>
</file>