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23D9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天津港保税区重大技术攻关“揭榜挂帅” </w:t>
      </w:r>
    </w:p>
    <w:p w14:paraId="191C9E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项目管理办法</w:t>
      </w:r>
    </w:p>
    <w:p w14:paraId="44EA4A1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（试行）</w:t>
      </w:r>
      <w:bookmarkStart w:id="0" w:name="_GoBack"/>
      <w:bookmarkEnd w:id="0"/>
    </w:p>
    <w:p w14:paraId="52416AB3">
      <w:pPr>
        <w:pStyle w:val="3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5"/>
        <w:jc w:val="both"/>
        <w:textAlignment w:val="auto"/>
        <w:rPr>
          <w:rFonts w:ascii="仿宋_GB2312" w:eastAsia="仿宋_GB2312" w:cs="仿宋_GB2312"/>
          <w:color w:val="3D3D3D"/>
          <w:sz w:val="32"/>
          <w:szCs w:val="32"/>
        </w:rPr>
      </w:pPr>
      <w:r>
        <w:rPr>
          <w:rFonts w:hint="eastAsia" w:ascii="仿宋_GB2312" w:eastAsia="仿宋_GB2312" w:cs="仿宋_GB2312"/>
          <w:color w:val="3D3D3D"/>
          <w:sz w:val="31"/>
          <w:szCs w:val="31"/>
          <w:shd w:val="clear" w:color="auto" w:fill="FFFFFF"/>
        </w:rPr>
        <w:t> </w:t>
      </w:r>
    </w:p>
    <w:p w14:paraId="1B36482D">
      <w:pPr>
        <w:pStyle w:val="3"/>
        <w:keepNext w:val="0"/>
        <w:keepLines w:val="0"/>
        <w:pageBreakBefore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5"/>
        <w:jc w:val="both"/>
        <w:textAlignment w:val="auto"/>
        <w:rPr>
          <w:rFonts w:ascii="仿宋_GB2312" w:eastAsia="仿宋_GB2312" w:cs="仿宋_GB2312"/>
          <w:color w:val="3D3D3D"/>
          <w:sz w:val="31"/>
          <w:szCs w:val="31"/>
          <w:shd w:val="clear" w:color="auto" w:fill="FFFFFF"/>
        </w:rPr>
      </w:pPr>
      <w:r>
        <w:rPr>
          <w:rFonts w:hint="eastAsia" w:ascii="仿宋_GB2312" w:eastAsia="仿宋_GB2312" w:cs="仿宋_GB2312"/>
          <w:color w:val="3D3D3D"/>
          <w:sz w:val="31"/>
          <w:szCs w:val="31"/>
          <w:shd w:val="clear" w:color="auto" w:fill="FFFFFF"/>
        </w:rPr>
        <w:t>为加强成果产业化，</w:t>
      </w:r>
      <w:r>
        <w:rPr>
          <w:rFonts w:ascii="仿宋_GB2312" w:eastAsia="仿宋_GB2312" w:cs="仿宋_GB2312"/>
          <w:color w:val="3D3D3D"/>
          <w:sz w:val="31"/>
          <w:szCs w:val="31"/>
          <w:shd w:val="clear" w:color="auto" w:fill="FFFFFF"/>
        </w:rPr>
        <w:t>有效释放创新潜能，提升</w:t>
      </w:r>
      <w:r>
        <w:rPr>
          <w:rFonts w:hint="eastAsia" w:ascii="仿宋_GB2312" w:eastAsia="仿宋_GB2312" w:cs="仿宋_GB2312"/>
          <w:color w:val="3D3D3D"/>
          <w:sz w:val="31"/>
          <w:szCs w:val="31"/>
          <w:shd w:val="clear" w:color="auto" w:fill="FFFFFF"/>
        </w:rPr>
        <w:t>企业</w:t>
      </w:r>
      <w:r>
        <w:rPr>
          <w:rFonts w:ascii="仿宋_GB2312" w:eastAsia="仿宋_GB2312" w:cs="仿宋_GB2312"/>
          <w:color w:val="3D3D3D"/>
          <w:sz w:val="31"/>
          <w:szCs w:val="31"/>
          <w:shd w:val="clear" w:color="auto" w:fill="FFFFFF"/>
        </w:rPr>
        <w:t>科技自主创新能力，</w:t>
      </w:r>
      <w:r>
        <w:rPr>
          <w:rFonts w:hint="eastAsia" w:ascii="仿宋_GB2312" w:eastAsia="仿宋_GB2312" w:cs="仿宋_GB2312"/>
          <w:color w:val="3D3D3D"/>
          <w:sz w:val="31"/>
          <w:szCs w:val="31"/>
          <w:shd w:val="clear" w:color="auto" w:fill="FFFFFF"/>
        </w:rPr>
        <w:t>扩大供需双方对接渠道，整合高校、科研院所、企业、专家团队等科技资源力量，针对性组织开展项目合作，</w:t>
      </w:r>
      <w:r>
        <w:rPr>
          <w:rFonts w:ascii="仿宋_GB2312" w:eastAsia="仿宋_GB2312" w:cs="仿宋_GB2312"/>
          <w:color w:val="3D3D3D"/>
          <w:sz w:val="31"/>
          <w:szCs w:val="31"/>
          <w:shd w:val="clear" w:color="auto" w:fill="FFFFFF"/>
        </w:rPr>
        <w:t>形成创新生态链的良性循环</w:t>
      </w:r>
      <w:r>
        <w:rPr>
          <w:rFonts w:hint="eastAsia" w:ascii="仿宋_GB2312" w:eastAsia="仿宋_GB2312" w:cs="仿宋_GB2312"/>
          <w:color w:val="3D3D3D"/>
          <w:sz w:val="31"/>
          <w:szCs w:val="31"/>
          <w:shd w:val="clear" w:color="auto" w:fill="FFFFFF"/>
        </w:rPr>
        <w:t>，现制定本管理办法。</w:t>
      </w:r>
    </w:p>
    <w:p w14:paraId="7ED8456B">
      <w:pPr>
        <w:pStyle w:val="3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5"/>
        <w:jc w:val="both"/>
        <w:textAlignment w:val="auto"/>
        <w:rPr>
          <w:rFonts w:ascii="仿宋_GB2312" w:eastAsia="仿宋_GB2312" w:cs="仿宋_GB2312"/>
          <w:color w:val="3D3D3D"/>
          <w:sz w:val="32"/>
          <w:szCs w:val="32"/>
        </w:rPr>
      </w:pPr>
      <w:r>
        <w:rPr>
          <w:rFonts w:ascii="黑体" w:hAnsi="宋体" w:eastAsia="黑体" w:cs="黑体"/>
          <w:color w:val="3D3D3D"/>
          <w:sz w:val="31"/>
          <w:szCs w:val="31"/>
          <w:shd w:val="clear" w:color="auto" w:fill="FFFFFF"/>
        </w:rPr>
        <w:t>一、总体</w:t>
      </w:r>
      <w:r>
        <w:rPr>
          <w:rFonts w:hint="eastAsia" w:ascii="黑体" w:hAnsi="宋体" w:eastAsia="黑体" w:cs="黑体"/>
          <w:color w:val="3D3D3D"/>
          <w:sz w:val="31"/>
          <w:szCs w:val="31"/>
          <w:shd w:val="clear" w:color="auto" w:fill="FFFFFF"/>
        </w:rPr>
        <w:t>要求</w:t>
      </w:r>
    </w:p>
    <w:p w14:paraId="1AE6A466">
      <w:pPr>
        <w:pStyle w:val="3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5"/>
        <w:jc w:val="both"/>
        <w:textAlignment w:val="auto"/>
        <w:rPr>
          <w:rFonts w:ascii="仿宋_GB2312" w:eastAsia="仿宋_GB2312" w:cs="仿宋_GB2312"/>
          <w:color w:val="3D3D3D"/>
          <w:sz w:val="32"/>
          <w:szCs w:val="32"/>
        </w:rPr>
      </w:pPr>
      <w:r>
        <w:rPr>
          <w:rFonts w:hint="eastAsia" w:ascii="仿宋_GB2312" w:eastAsia="仿宋_GB2312" w:cs="仿宋_GB2312"/>
          <w:color w:val="3D3D3D"/>
          <w:sz w:val="31"/>
          <w:szCs w:val="31"/>
          <w:shd w:val="clear" w:color="auto" w:fill="FFFFFF"/>
        </w:rPr>
        <w:t>以习近平新时代中国特色社会主义思想为指导，全面贯彻党的二十大精神，深入贯彻习近平总书记对天津工作“三个着力”重要要求和一系列重要指示批示精神，围绕保税区的主导产业将需求导向、问题导向和目标导向贯穿于重大项目形成和组织实施的全过程、全链条，按照定榜发榜、揭榜定帅、挂帅攻关问效、成果验收等四个阶段组织实施“揭榜挂帅”，加速突破一批企业“卡脖子”关键核心技术，提升科技成果的“实战性”，为推动企业快速发展、产业链现代化提供强大技术支撑。</w:t>
      </w:r>
    </w:p>
    <w:p w14:paraId="6495F229">
      <w:pPr>
        <w:pStyle w:val="3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5"/>
        <w:jc w:val="both"/>
        <w:textAlignment w:val="auto"/>
        <w:rPr>
          <w:rFonts w:ascii="仿宋_GB2312" w:eastAsia="仿宋_GB2312" w:cs="仿宋_GB2312"/>
          <w:color w:val="3D3D3D"/>
          <w:sz w:val="32"/>
          <w:szCs w:val="32"/>
        </w:rPr>
      </w:pPr>
      <w:r>
        <w:rPr>
          <w:rFonts w:hint="eastAsia" w:ascii="黑体" w:hAnsi="宋体" w:eastAsia="黑体" w:cs="黑体"/>
          <w:color w:val="3D3D3D"/>
          <w:sz w:val="31"/>
          <w:szCs w:val="31"/>
          <w:shd w:val="clear" w:color="auto" w:fill="FFFFFF"/>
        </w:rPr>
        <w:t>二、基本原则</w:t>
      </w:r>
    </w:p>
    <w:p w14:paraId="0474ADFB">
      <w:pPr>
        <w:pStyle w:val="3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5"/>
        <w:jc w:val="both"/>
        <w:textAlignment w:val="auto"/>
        <w:rPr>
          <w:rFonts w:ascii="仿宋_GB2312" w:eastAsia="仿宋_GB2312" w:cs="仿宋_GB2312"/>
          <w:color w:val="3D3D3D"/>
          <w:sz w:val="32"/>
          <w:szCs w:val="32"/>
        </w:rPr>
      </w:pPr>
      <w:r>
        <w:rPr>
          <w:rFonts w:hint="eastAsia" w:ascii="楷体_GB2312" w:eastAsia="楷体_GB2312" w:cs="楷体_GB2312"/>
          <w:color w:val="3D3D3D"/>
          <w:sz w:val="31"/>
          <w:szCs w:val="31"/>
          <w:shd w:val="clear" w:color="auto" w:fill="FFFFFF"/>
        </w:rPr>
        <w:t>——不设门槛。</w:t>
      </w:r>
      <w:r>
        <w:rPr>
          <w:rFonts w:hint="eastAsia" w:ascii="仿宋_GB2312" w:eastAsia="仿宋_GB2312" w:cs="仿宋_GB2312"/>
          <w:color w:val="3D3D3D"/>
          <w:sz w:val="31"/>
          <w:szCs w:val="31"/>
          <w:shd w:val="clear" w:color="auto" w:fill="FFFFFF"/>
        </w:rPr>
        <w:t>对项目实施主体的“资质”不设限制，不论地域、注册时间、注册资本金、“称号”等，广泛“发榜”，各类具有较强研发实力的单位或机构均可参与揭榜。</w:t>
      </w:r>
    </w:p>
    <w:p w14:paraId="6F606D85">
      <w:pPr>
        <w:pStyle w:val="3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5"/>
        <w:jc w:val="both"/>
        <w:textAlignment w:val="auto"/>
        <w:rPr>
          <w:rFonts w:ascii="仿宋_GB2312" w:eastAsia="仿宋_GB2312" w:cs="仿宋_GB2312"/>
          <w:color w:val="3D3D3D"/>
          <w:sz w:val="32"/>
          <w:szCs w:val="32"/>
        </w:rPr>
      </w:pPr>
      <w:r>
        <w:rPr>
          <w:rFonts w:hint="eastAsia" w:ascii="楷体_GB2312" w:eastAsia="楷体_GB2312" w:cs="楷体_GB2312"/>
          <w:color w:val="3D3D3D"/>
          <w:sz w:val="31"/>
          <w:szCs w:val="31"/>
          <w:shd w:val="clear" w:color="auto" w:fill="FFFFFF"/>
        </w:rPr>
        <w:t>——企业主体。</w:t>
      </w:r>
      <w:r>
        <w:rPr>
          <w:rFonts w:hint="eastAsia" w:ascii="仿宋_GB2312" w:eastAsia="仿宋_GB2312" w:cs="仿宋_GB2312"/>
          <w:color w:val="3D3D3D"/>
          <w:sz w:val="31"/>
          <w:szCs w:val="31"/>
          <w:shd w:val="clear" w:color="auto" w:fill="FFFFFF"/>
        </w:rPr>
        <w:t>改变由政府部门确定攻关方向和重点的传统模式，拓宽需求来源，充分发挥创新主体作用，凝练我区产业发展和实践亟需解决的重大技术问题，凸显企业在“揭榜挂帅”机制中的主角作用。</w:t>
      </w:r>
    </w:p>
    <w:p w14:paraId="26E84F79">
      <w:pPr>
        <w:pStyle w:val="3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5"/>
        <w:jc w:val="both"/>
        <w:textAlignment w:val="auto"/>
        <w:rPr>
          <w:rFonts w:ascii="仿宋_GB2312" w:eastAsia="仿宋_GB2312" w:cs="仿宋_GB2312"/>
          <w:color w:val="3D3D3D"/>
          <w:sz w:val="32"/>
          <w:szCs w:val="32"/>
        </w:rPr>
      </w:pPr>
      <w:r>
        <w:rPr>
          <w:rFonts w:hint="eastAsia" w:ascii="楷体_GB2312" w:eastAsia="楷体_GB2312" w:cs="楷体_GB2312"/>
          <w:color w:val="3D3D3D"/>
          <w:sz w:val="31"/>
          <w:szCs w:val="31"/>
          <w:shd w:val="clear" w:color="auto" w:fill="FFFFFF"/>
        </w:rPr>
        <w:t>——限时攻关。</w:t>
      </w:r>
      <w:r>
        <w:rPr>
          <w:rFonts w:hint="eastAsia" w:ascii="仿宋_GB2312" w:eastAsia="仿宋_GB2312" w:cs="仿宋_GB2312"/>
          <w:color w:val="3D3D3D"/>
          <w:sz w:val="31"/>
          <w:szCs w:val="31"/>
          <w:shd w:val="clear" w:color="auto" w:fill="FFFFFF"/>
        </w:rPr>
        <w:t>改变项目“一评定终身”的模式，压实挂帅单位科研攻关主体责任，明确攻关时限，严格按照要求开展“里程碑”节点考核，突出在真实应用场景下进行验收和评价，以成败论英雄。</w:t>
      </w:r>
    </w:p>
    <w:p w14:paraId="20B86A38">
      <w:pPr>
        <w:pStyle w:val="3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5"/>
        <w:jc w:val="both"/>
        <w:textAlignment w:val="auto"/>
        <w:rPr>
          <w:rFonts w:ascii="仿宋_GB2312" w:eastAsia="仿宋_GB2312" w:cs="仿宋_GB2312"/>
          <w:color w:val="3D3D3D"/>
          <w:sz w:val="32"/>
          <w:szCs w:val="32"/>
        </w:rPr>
      </w:pPr>
      <w:r>
        <w:rPr>
          <w:rFonts w:hint="eastAsia" w:ascii="黑体" w:hAnsi="宋体" w:eastAsia="黑体" w:cs="黑体"/>
          <w:color w:val="3D3D3D"/>
          <w:sz w:val="31"/>
          <w:szCs w:val="31"/>
          <w:shd w:val="clear" w:color="auto" w:fill="FFFFFF"/>
        </w:rPr>
        <w:t>三、组织流程</w:t>
      </w:r>
    </w:p>
    <w:p w14:paraId="24BFE819">
      <w:pPr>
        <w:pStyle w:val="3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5"/>
        <w:jc w:val="both"/>
        <w:textAlignment w:val="auto"/>
        <w:rPr>
          <w:rFonts w:ascii="仿宋_GB2312" w:eastAsia="仿宋_GB2312" w:cs="仿宋_GB2312"/>
          <w:color w:val="3D3D3D"/>
          <w:sz w:val="32"/>
          <w:szCs w:val="32"/>
        </w:rPr>
      </w:pPr>
      <w:r>
        <w:rPr>
          <w:rFonts w:hint="eastAsia" w:ascii="仿宋_GB2312" w:eastAsia="仿宋_GB2312" w:cs="仿宋_GB2312"/>
          <w:color w:val="3D3D3D"/>
          <w:sz w:val="31"/>
          <w:szCs w:val="31"/>
          <w:shd w:val="clear" w:color="auto" w:fill="FFFFFF"/>
        </w:rPr>
        <w:t>“揭榜挂帅”组织管理主要分为定榜发榜、揭榜定帅、挂帅攻关问效、成果验收等四个阶段。</w:t>
      </w:r>
    </w:p>
    <w:p w14:paraId="60788DB0">
      <w:pPr>
        <w:pStyle w:val="3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5"/>
        <w:jc w:val="both"/>
        <w:textAlignment w:val="auto"/>
        <w:rPr>
          <w:rFonts w:ascii="仿宋_GB2312" w:eastAsia="仿宋_GB2312" w:cs="仿宋_GB2312"/>
          <w:color w:val="3D3D3D"/>
          <w:sz w:val="32"/>
          <w:szCs w:val="32"/>
        </w:rPr>
      </w:pPr>
      <w:r>
        <w:rPr>
          <w:rFonts w:hint="eastAsia" w:ascii="楷体_GB2312" w:eastAsia="楷体_GB2312" w:cs="楷体_GB2312"/>
          <w:color w:val="3D3D3D"/>
          <w:sz w:val="31"/>
          <w:szCs w:val="31"/>
          <w:shd w:val="clear" w:color="auto" w:fill="FFFFFF"/>
        </w:rPr>
        <w:t>（一）定榜发榜</w:t>
      </w:r>
    </w:p>
    <w:p w14:paraId="09AB60CF">
      <w:pPr>
        <w:pStyle w:val="3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5"/>
        <w:jc w:val="both"/>
        <w:textAlignment w:val="auto"/>
        <w:rPr>
          <w:rFonts w:ascii="仿宋_GB2312" w:eastAsia="仿宋_GB2312" w:cs="仿宋_GB2312"/>
          <w:color w:val="3D3D3D"/>
          <w:sz w:val="32"/>
          <w:szCs w:val="32"/>
        </w:rPr>
      </w:pPr>
      <w:r>
        <w:rPr>
          <w:rFonts w:hint="eastAsia" w:ascii="仿宋_GB2312" w:hAnsi="仿宋_GB2312" w:eastAsia="仿宋_GB2312" w:cs="Nimbus Roman No9 L"/>
          <w:color w:val="3D3D3D"/>
          <w:sz w:val="31"/>
          <w:szCs w:val="31"/>
          <w:shd w:val="clear" w:color="auto" w:fill="FFFFFF"/>
        </w:rPr>
        <w:t>1、</w:t>
      </w:r>
      <w:r>
        <w:rPr>
          <w:rFonts w:hint="eastAsia" w:ascii="仿宋_GB2312" w:eastAsia="仿宋_GB2312" w:cs="仿宋_GB2312"/>
          <w:color w:val="3D3D3D"/>
          <w:sz w:val="31"/>
          <w:szCs w:val="31"/>
          <w:shd w:val="clear" w:color="auto" w:fill="FFFFFF"/>
        </w:rPr>
        <w:t>问需。聚焦企业重点技术瓶颈和关键科学问题，由保税区科技局公开征集或其他途径梳理凝练重大创新需求。需求提出单位填报揭榜项目需求。主要是体现高质量发展，提升产业核心竞争力、自主创新能力，需要开展“卡脖子”技术、关键零部件、重大装备等攻关的重点研发任务。</w:t>
      </w:r>
    </w:p>
    <w:p w14:paraId="036437B7">
      <w:pPr>
        <w:pStyle w:val="3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5"/>
        <w:jc w:val="both"/>
        <w:textAlignment w:val="auto"/>
        <w:rPr>
          <w:rFonts w:ascii="仿宋_GB2312" w:eastAsia="仿宋_GB2312" w:cs="仿宋_GB2312"/>
          <w:color w:val="3D3D3D"/>
          <w:sz w:val="32"/>
          <w:szCs w:val="32"/>
        </w:rPr>
      </w:pPr>
      <w:r>
        <w:rPr>
          <w:rFonts w:ascii="仿宋_GB2312" w:hAnsi="仿宋_GB2312" w:eastAsia="仿宋_GB2312" w:cs="Nimbus Roman No9 L"/>
          <w:color w:val="3D3D3D"/>
          <w:sz w:val="31"/>
          <w:szCs w:val="31"/>
          <w:shd w:val="clear" w:color="auto" w:fill="FFFFFF"/>
        </w:rPr>
        <w:t>2</w:t>
      </w:r>
      <w:r>
        <w:rPr>
          <w:rFonts w:hint="eastAsia" w:ascii="仿宋_GB2312" w:hAnsi="仿宋_GB2312" w:eastAsia="仿宋_GB2312" w:cs="Nimbus Roman No9 L"/>
          <w:color w:val="3D3D3D"/>
          <w:sz w:val="31"/>
          <w:szCs w:val="31"/>
          <w:shd w:val="clear" w:color="auto" w:fill="FFFFFF"/>
        </w:rPr>
        <w:t>、</w:t>
      </w:r>
      <w:r>
        <w:rPr>
          <w:rFonts w:hint="eastAsia" w:ascii="仿宋_GB2312" w:eastAsia="仿宋_GB2312" w:cs="仿宋_GB2312"/>
          <w:color w:val="3D3D3D"/>
          <w:sz w:val="31"/>
          <w:szCs w:val="31"/>
          <w:shd w:val="clear" w:color="auto" w:fill="FFFFFF"/>
        </w:rPr>
        <w:t>定榜。由</w:t>
      </w:r>
      <w:r>
        <w:rPr>
          <w:rFonts w:hint="eastAsia" w:ascii="仿宋_GB2312" w:hAnsi="Nimbus Roman No9 L" w:eastAsia="仿宋_GB2312" w:cs="仿宋_GB2312"/>
          <w:color w:val="3D3D3D"/>
          <w:sz w:val="31"/>
          <w:szCs w:val="31"/>
          <w:shd w:val="clear" w:color="auto" w:fill="FFFFFF"/>
        </w:rPr>
        <w:t>保税区科技局</w:t>
      </w:r>
      <w:r>
        <w:rPr>
          <w:rFonts w:hint="eastAsia" w:ascii="仿宋_GB2312" w:eastAsia="仿宋_GB2312" w:cs="仿宋_GB2312"/>
          <w:color w:val="3D3D3D"/>
          <w:sz w:val="31"/>
          <w:szCs w:val="31"/>
          <w:shd w:val="clear" w:color="auto" w:fill="FFFFFF"/>
        </w:rPr>
        <w:t>组织专家对征集的榜单进行论证筛选，根据专家论证意见，遴选凝练，统筹确定后形成最终榜单。榜单内容包括需求内容、预期效果、时间节点及考核要求、最终成果形式、榜单金额、公开范围等。榜单要准确阐述具体应用需求背后的技术问题和科学问题，确保方向明确、路径清晰、指标先进、成效突出。</w:t>
      </w:r>
    </w:p>
    <w:p w14:paraId="61C18D18">
      <w:pPr>
        <w:pStyle w:val="3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5"/>
        <w:jc w:val="both"/>
        <w:textAlignment w:val="auto"/>
        <w:rPr>
          <w:rFonts w:ascii="仿宋_GB2312" w:eastAsia="仿宋_GB2312" w:cs="仿宋_GB2312"/>
          <w:color w:val="3D3D3D"/>
          <w:sz w:val="31"/>
          <w:szCs w:val="31"/>
          <w:shd w:val="clear" w:color="auto" w:fill="FFFFFF"/>
        </w:rPr>
      </w:pPr>
      <w:r>
        <w:rPr>
          <w:rFonts w:ascii="仿宋_GB2312" w:hAnsi="仿宋_GB2312" w:eastAsia="仿宋_GB2312" w:cs="Nimbus Roman No9 L"/>
          <w:color w:val="3D3D3D"/>
          <w:sz w:val="31"/>
          <w:szCs w:val="31"/>
          <w:shd w:val="clear" w:color="auto" w:fill="FFFFFF"/>
        </w:rPr>
        <w:t>3</w:t>
      </w:r>
      <w:r>
        <w:rPr>
          <w:rFonts w:hint="eastAsia" w:ascii="仿宋_GB2312" w:hAnsi="仿宋_GB2312" w:eastAsia="仿宋_GB2312" w:cs="Nimbus Roman No9 L"/>
          <w:color w:val="3D3D3D"/>
          <w:sz w:val="31"/>
          <w:szCs w:val="31"/>
          <w:shd w:val="clear" w:color="auto" w:fill="FFFFFF"/>
        </w:rPr>
        <w:t>、</w:t>
      </w:r>
      <w:r>
        <w:rPr>
          <w:rFonts w:hint="eastAsia" w:ascii="仿宋_GB2312" w:eastAsia="仿宋_GB2312" w:cs="仿宋_GB2312"/>
          <w:color w:val="3D3D3D"/>
          <w:sz w:val="31"/>
          <w:szCs w:val="31"/>
          <w:shd w:val="clear" w:color="auto" w:fill="FFFFFF"/>
        </w:rPr>
        <w:t>发榜。根据研发任务的特点，结合相关保密规定，最终榜单一般采取“择优招贤”的方式在保税区官网、科技局官网、市成果展交平台、滨科荟、政务新媒体等网站渠道公开发布。</w:t>
      </w:r>
    </w:p>
    <w:p w14:paraId="6709B71A">
      <w:pPr>
        <w:pStyle w:val="3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5"/>
        <w:jc w:val="both"/>
        <w:textAlignment w:val="auto"/>
        <w:rPr>
          <w:rFonts w:ascii="仿宋_GB2312" w:eastAsia="仿宋_GB2312" w:cs="仿宋_GB2312"/>
          <w:color w:val="3D3D3D"/>
          <w:sz w:val="32"/>
          <w:szCs w:val="32"/>
        </w:rPr>
      </w:pPr>
      <w:r>
        <w:rPr>
          <w:rFonts w:hint="eastAsia" w:ascii="楷体_GB2312" w:eastAsia="楷体_GB2312" w:cs="楷体_GB2312"/>
          <w:color w:val="3D3D3D"/>
          <w:sz w:val="31"/>
          <w:szCs w:val="31"/>
          <w:shd w:val="clear" w:color="auto" w:fill="FFFFFF"/>
        </w:rPr>
        <w:t>（二）揭榜定帅</w:t>
      </w:r>
    </w:p>
    <w:p w14:paraId="6975719A">
      <w:pPr>
        <w:pStyle w:val="3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5"/>
        <w:jc w:val="both"/>
        <w:textAlignment w:val="auto"/>
        <w:rPr>
          <w:rFonts w:ascii="仿宋_GB2312" w:eastAsia="仿宋_GB2312" w:cs="仿宋_GB2312"/>
          <w:color w:val="3D3D3D"/>
          <w:sz w:val="32"/>
          <w:szCs w:val="32"/>
        </w:rPr>
      </w:pPr>
      <w:r>
        <w:rPr>
          <w:rFonts w:ascii="仿宋_GB2312" w:hAnsi="仿宋_GB2312" w:eastAsia="仿宋_GB2312" w:cs="Nimbus Roman No9 L"/>
          <w:color w:val="3D3D3D"/>
          <w:sz w:val="31"/>
          <w:szCs w:val="31"/>
          <w:shd w:val="clear" w:color="auto" w:fill="FFFFFF"/>
        </w:rPr>
        <w:t>4</w:t>
      </w:r>
      <w:r>
        <w:rPr>
          <w:rFonts w:hint="eastAsia" w:ascii="仿宋_GB2312" w:hAnsi="仿宋_GB2312" w:eastAsia="仿宋_GB2312" w:cs="Nimbus Roman No9 L"/>
          <w:color w:val="3D3D3D"/>
          <w:sz w:val="31"/>
          <w:szCs w:val="31"/>
          <w:shd w:val="clear" w:color="auto" w:fill="FFFFFF"/>
        </w:rPr>
        <w:t>、</w:t>
      </w:r>
      <w:r>
        <w:rPr>
          <w:rFonts w:hint="eastAsia" w:ascii="仿宋_GB2312" w:eastAsia="仿宋_GB2312" w:cs="仿宋_GB2312"/>
          <w:color w:val="3D3D3D"/>
          <w:sz w:val="31"/>
          <w:szCs w:val="31"/>
          <w:shd w:val="clear" w:color="auto" w:fill="FFFFFF"/>
        </w:rPr>
        <w:t>揭榜。相关单位或机构按照榜单要求主动与需求提出单位对接，细化落实具体合作内容，在规定的时间内向保税区科技局提交揭榜意向书，进行“揭榜挂帅”申报。多家单位或机构联合申报的，由牵头单位或机构提交意向书。需求提出单位或关联主体不得对自己提出的需求进行揭榜。</w:t>
      </w:r>
    </w:p>
    <w:p w14:paraId="36E5C626">
      <w:pPr>
        <w:pStyle w:val="3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5"/>
        <w:jc w:val="both"/>
        <w:textAlignment w:val="auto"/>
        <w:rPr>
          <w:rFonts w:ascii="仿宋_GB2312" w:eastAsia="仿宋_GB2312" w:cs="仿宋_GB2312"/>
          <w:color w:val="3D3D3D"/>
          <w:sz w:val="31"/>
          <w:szCs w:val="31"/>
          <w:shd w:val="clear" w:color="auto" w:fill="FFFFFF"/>
        </w:rPr>
      </w:pPr>
      <w:r>
        <w:rPr>
          <w:rFonts w:ascii="仿宋_GB2312" w:hAnsi="仿宋_GB2312" w:eastAsia="仿宋_GB2312" w:cs="Nimbus Roman No9 L"/>
          <w:color w:val="3D3D3D"/>
          <w:sz w:val="31"/>
          <w:szCs w:val="31"/>
          <w:shd w:val="clear" w:color="auto" w:fill="FFFFFF"/>
        </w:rPr>
        <w:t>5</w:t>
      </w:r>
      <w:r>
        <w:rPr>
          <w:rFonts w:hint="eastAsia" w:ascii="仿宋_GB2312" w:hAnsi="仿宋_GB2312" w:eastAsia="仿宋_GB2312" w:cs="Nimbus Roman No9 L"/>
          <w:color w:val="3D3D3D"/>
          <w:sz w:val="31"/>
          <w:szCs w:val="31"/>
          <w:shd w:val="clear" w:color="auto" w:fill="FFFFFF"/>
        </w:rPr>
        <w:t>、</w:t>
      </w:r>
      <w:r>
        <w:rPr>
          <w:rFonts w:hint="eastAsia" w:ascii="仿宋_GB2312" w:eastAsia="仿宋_GB2312" w:cs="仿宋_GB2312"/>
          <w:color w:val="3D3D3D"/>
          <w:sz w:val="31"/>
          <w:szCs w:val="31"/>
          <w:shd w:val="clear" w:color="auto" w:fill="FFFFFF"/>
        </w:rPr>
        <w:t>定帅。保税区科技局组织专家评审，按照汇报、质询、评议等程序进行会议评审，确有需要可组织开展现场评估。根据专家意见，并会商需求提出单位，需求提出单位、揭榜单位、保税区科技局共同签订三方协议，确定挂帅单位。需求提出单位在定帅评审时拥有“一票否决权”。</w:t>
      </w:r>
    </w:p>
    <w:p w14:paraId="0C10C649">
      <w:pPr>
        <w:pStyle w:val="3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5"/>
        <w:jc w:val="both"/>
        <w:textAlignment w:val="auto"/>
        <w:rPr>
          <w:rFonts w:ascii="仿宋_GB2312" w:eastAsia="仿宋_GB2312" w:cs="仿宋_GB2312"/>
          <w:color w:val="3D3D3D"/>
          <w:sz w:val="32"/>
          <w:szCs w:val="32"/>
        </w:rPr>
      </w:pPr>
      <w:r>
        <w:rPr>
          <w:rFonts w:ascii="仿宋_GB2312" w:hAnsi="仿宋_GB2312" w:eastAsia="仿宋_GB2312" w:cs="Nimbus Roman No9 L"/>
          <w:color w:val="3D3D3D"/>
          <w:sz w:val="31"/>
          <w:szCs w:val="31"/>
          <w:shd w:val="clear" w:color="auto" w:fill="FFFFFF"/>
        </w:rPr>
        <w:t>6</w:t>
      </w:r>
      <w:r>
        <w:rPr>
          <w:rFonts w:hint="eastAsia" w:ascii="仿宋_GB2312" w:hAnsi="仿宋_GB2312" w:eastAsia="仿宋_GB2312" w:cs="Nimbus Roman No9 L"/>
          <w:color w:val="3D3D3D"/>
          <w:sz w:val="31"/>
          <w:szCs w:val="31"/>
          <w:shd w:val="clear" w:color="auto" w:fill="FFFFFF"/>
        </w:rPr>
        <w:t>、</w:t>
      </w:r>
      <w:r>
        <w:rPr>
          <w:rFonts w:hint="eastAsia" w:ascii="仿宋_GB2312" w:eastAsia="仿宋_GB2312" w:cs="仿宋_GB2312"/>
          <w:color w:val="3D3D3D"/>
          <w:sz w:val="31"/>
          <w:szCs w:val="31"/>
          <w:shd w:val="clear" w:color="auto" w:fill="FFFFFF"/>
        </w:rPr>
        <w:t>立状。对“揭榜挂帅”项目，保税区科技局会同需求提出单位与挂帅单位签订任务书。任务书须细化总体目标、主要研究内容、“里程碑”节点、考核方式、考核指标，明确成果形式、预期成效、成果归属、权利义务等。</w:t>
      </w:r>
    </w:p>
    <w:p w14:paraId="16AF95A1">
      <w:pPr>
        <w:pStyle w:val="3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5"/>
        <w:jc w:val="both"/>
        <w:textAlignment w:val="auto"/>
        <w:rPr>
          <w:rFonts w:ascii="仿宋_GB2312" w:eastAsia="仿宋_GB2312" w:cs="仿宋_GB2312"/>
          <w:color w:val="3D3D3D"/>
          <w:sz w:val="32"/>
          <w:szCs w:val="32"/>
        </w:rPr>
      </w:pPr>
      <w:r>
        <w:rPr>
          <w:rFonts w:hint="eastAsia" w:ascii="楷体_GB2312" w:eastAsia="楷体_GB2312" w:cs="楷体_GB2312"/>
          <w:color w:val="3D3D3D"/>
          <w:sz w:val="31"/>
          <w:szCs w:val="31"/>
          <w:shd w:val="clear" w:color="auto" w:fill="FFFFFF"/>
        </w:rPr>
        <w:t>（三）挂帅攻关</w:t>
      </w:r>
    </w:p>
    <w:p w14:paraId="2A4DCABA">
      <w:pPr>
        <w:pStyle w:val="3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5"/>
        <w:jc w:val="both"/>
        <w:textAlignment w:val="auto"/>
        <w:rPr>
          <w:rFonts w:ascii="仿宋_GB2312" w:eastAsia="仿宋_GB2312" w:cs="仿宋_GB2312"/>
          <w:color w:val="3D3D3D"/>
          <w:sz w:val="31"/>
          <w:szCs w:val="31"/>
          <w:shd w:val="clear" w:color="auto" w:fill="FFFFFF"/>
        </w:rPr>
      </w:pPr>
      <w:r>
        <w:rPr>
          <w:rFonts w:ascii="仿宋_GB2312" w:hAnsi="仿宋_GB2312" w:eastAsia="仿宋_GB2312" w:cs="Nimbus Roman No9 L"/>
          <w:color w:val="3D3D3D"/>
          <w:sz w:val="31"/>
          <w:szCs w:val="31"/>
          <w:shd w:val="clear" w:color="auto" w:fill="FFFFFF"/>
        </w:rPr>
        <w:t>7</w:t>
      </w:r>
      <w:r>
        <w:rPr>
          <w:rFonts w:hint="eastAsia" w:ascii="仿宋_GB2312" w:hAnsi="仿宋_GB2312" w:eastAsia="仿宋_GB2312" w:cs="Nimbus Roman No9 L"/>
          <w:color w:val="3D3D3D"/>
          <w:sz w:val="31"/>
          <w:szCs w:val="31"/>
          <w:shd w:val="clear" w:color="auto" w:fill="FFFFFF"/>
        </w:rPr>
        <w:t>、</w:t>
      </w:r>
      <w:r>
        <w:rPr>
          <w:rFonts w:hint="eastAsia" w:ascii="仿宋_GB2312" w:eastAsia="仿宋_GB2312" w:cs="仿宋_GB2312"/>
          <w:color w:val="3D3D3D"/>
          <w:sz w:val="31"/>
          <w:szCs w:val="31"/>
          <w:shd w:val="clear" w:color="auto" w:fill="FFFFFF"/>
        </w:rPr>
        <w:t>攻关。挂帅单位须集中优势资源，全力组织科研团队开展限时攻关并依规提供有力保障。攻关期间，可实行“技术总师负责制”，充分授权技术总师自行选聘攻关团队、自主支配项目经费、自主决定技术路线。</w:t>
      </w:r>
    </w:p>
    <w:p w14:paraId="47CD7D49">
      <w:pPr>
        <w:pStyle w:val="3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5"/>
        <w:jc w:val="both"/>
        <w:textAlignment w:val="auto"/>
        <w:rPr>
          <w:rFonts w:ascii="仿宋_GB2312" w:eastAsia="仿宋_GB2312" w:cs="仿宋_GB2312"/>
          <w:color w:val="3D3D3D"/>
          <w:sz w:val="31"/>
          <w:szCs w:val="31"/>
          <w:shd w:val="clear" w:color="auto" w:fill="FFFFFF"/>
        </w:rPr>
      </w:pPr>
      <w:r>
        <w:rPr>
          <w:rFonts w:ascii="仿宋_GB2312" w:hAnsi="仿宋_GB2312" w:eastAsia="仿宋_GB2312" w:cs="Nimbus Roman No9 L"/>
          <w:color w:val="3D3D3D"/>
          <w:sz w:val="31"/>
          <w:szCs w:val="31"/>
          <w:shd w:val="clear" w:color="auto" w:fill="FFFFFF"/>
        </w:rPr>
        <w:t>8</w:t>
      </w:r>
      <w:r>
        <w:rPr>
          <w:rFonts w:hint="eastAsia" w:ascii="仿宋_GB2312" w:hAnsi="仿宋_GB2312" w:eastAsia="仿宋_GB2312" w:cs="Nimbus Roman No9 L"/>
          <w:color w:val="3D3D3D"/>
          <w:sz w:val="31"/>
          <w:szCs w:val="31"/>
          <w:shd w:val="clear" w:color="auto" w:fill="FFFFFF"/>
        </w:rPr>
        <w:t>、</w:t>
      </w:r>
      <w:r>
        <w:rPr>
          <w:rFonts w:hint="eastAsia" w:ascii="仿宋_GB2312" w:eastAsia="仿宋_GB2312" w:cs="仿宋_GB2312"/>
          <w:color w:val="3D3D3D"/>
          <w:sz w:val="31"/>
          <w:szCs w:val="31"/>
          <w:shd w:val="clear" w:color="auto" w:fill="FFFFFF"/>
        </w:rPr>
        <w:t>问效。保税区科技局依据任务书约定开展“里程碑”节点绩效考核。其中，投资额在3</w:t>
      </w:r>
      <w:r>
        <w:rPr>
          <w:rFonts w:ascii="仿宋_GB2312" w:eastAsia="仿宋_GB2312" w:cs="仿宋_GB2312"/>
          <w:color w:val="3D3D3D"/>
          <w:sz w:val="31"/>
          <w:szCs w:val="31"/>
          <w:shd w:val="clear" w:color="auto" w:fill="FFFFFF"/>
        </w:rPr>
        <w:t>00</w:t>
      </w:r>
      <w:r>
        <w:rPr>
          <w:rFonts w:hint="eastAsia" w:ascii="仿宋_GB2312" w:eastAsia="仿宋_GB2312" w:cs="仿宋_GB2312"/>
          <w:color w:val="3D3D3D"/>
          <w:sz w:val="31"/>
          <w:szCs w:val="31"/>
          <w:shd w:val="clear" w:color="auto" w:fill="FFFFFF"/>
        </w:rPr>
        <w:t>万元以上的项目采用专家评审的方式进行，在挂帅单位通过考核后，向需求提出单位申请拨付后续相应阶段的资助经费；如考核未通过，可申请一次复评，申请复评未获批准或者复评不通过的，按照项目管理有关规定办理终止手续。</w:t>
      </w:r>
    </w:p>
    <w:p w14:paraId="71231B9D">
      <w:pPr>
        <w:pStyle w:val="3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5"/>
        <w:jc w:val="both"/>
        <w:textAlignment w:val="auto"/>
        <w:rPr>
          <w:rFonts w:hint="eastAsia" w:ascii="楷体_GB2312" w:eastAsia="楷体_GB2312" w:cs="楷体_GB2312"/>
          <w:color w:val="3D3D3D"/>
          <w:sz w:val="31"/>
          <w:szCs w:val="31"/>
          <w:shd w:val="clear" w:color="auto" w:fill="FFFFFF"/>
        </w:rPr>
      </w:pPr>
      <w:r>
        <w:rPr>
          <w:rFonts w:hint="eastAsia" w:ascii="楷体_GB2312" w:eastAsia="楷体_GB2312" w:cs="楷体_GB2312"/>
          <w:color w:val="3D3D3D"/>
          <w:sz w:val="31"/>
          <w:szCs w:val="31"/>
          <w:shd w:val="clear" w:color="auto" w:fill="FFFFFF"/>
        </w:rPr>
        <w:t>（四）成果验收</w:t>
      </w:r>
    </w:p>
    <w:p w14:paraId="27A82F28">
      <w:pPr>
        <w:pStyle w:val="3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5"/>
        <w:jc w:val="both"/>
        <w:textAlignment w:val="auto"/>
        <w:rPr>
          <w:rFonts w:ascii="仿宋_GB2312" w:eastAsia="仿宋_GB2312" w:cs="仿宋_GB2312"/>
          <w:color w:val="3D3D3D"/>
          <w:sz w:val="31"/>
          <w:szCs w:val="31"/>
          <w:shd w:val="clear" w:color="auto" w:fill="FFFFFF"/>
        </w:rPr>
      </w:pPr>
      <w:r>
        <w:rPr>
          <w:rFonts w:ascii="仿宋_GB2312" w:hAnsi="仿宋_GB2312" w:eastAsia="仿宋_GB2312" w:cs="Nimbus Roman No9 L"/>
          <w:color w:val="3D3D3D"/>
          <w:sz w:val="31"/>
          <w:szCs w:val="31"/>
          <w:shd w:val="clear" w:color="auto" w:fill="FFFFFF"/>
        </w:rPr>
        <w:t>9</w:t>
      </w:r>
      <w:r>
        <w:rPr>
          <w:rFonts w:hint="eastAsia" w:ascii="仿宋_GB2312" w:hAnsi="仿宋_GB2312" w:eastAsia="仿宋_GB2312" w:cs="Nimbus Roman No9 L"/>
          <w:color w:val="3D3D3D"/>
          <w:sz w:val="31"/>
          <w:szCs w:val="31"/>
          <w:shd w:val="clear" w:color="auto" w:fill="FFFFFF"/>
        </w:rPr>
        <w:t>、</w:t>
      </w:r>
      <w:r>
        <w:rPr>
          <w:rFonts w:hint="eastAsia" w:ascii="仿宋_GB2312" w:eastAsia="仿宋_GB2312" w:cs="仿宋_GB2312"/>
          <w:color w:val="3D3D3D"/>
          <w:sz w:val="31"/>
          <w:szCs w:val="31"/>
          <w:shd w:val="clear" w:color="auto" w:fill="FFFFFF"/>
        </w:rPr>
        <w:t>验收。保税区科技局按程序组织专家，严格按照任务书约定，通过会议验收的方式，经现场考察、测评、质询、评议等程序，形成并出具验收意见。</w:t>
      </w:r>
    </w:p>
    <w:p w14:paraId="2350D550">
      <w:pPr>
        <w:pStyle w:val="3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both"/>
        <w:textAlignment w:val="auto"/>
        <w:rPr>
          <w:rFonts w:hint="eastAsia" w:ascii="黑体" w:hAnsi="宋体" w:eastAsia="黑体" w:cs="黑体"/>
          <w:color w:val="3D3D3D"/>
          <w:sz w:val="31"/>
          <w:szCs w:val="31"/>
          <w:shd w:val="clear" w:color="auto" w:fill="FFFFFF"/>
        </w:rPr>
      </w:pPr>
      <w:r>
        <w:rPr>
          <w:rFonts w:hint="eastAsia" w:ascii="黑体" w:hAnsi="宋体" w:eastAsia="黑体" w:cs="黑体"/>
          <w:color w:val="3D3D3D"/>
          <w:sz w:val="31"/>
          <w:szCs w:val="31"/>
          <w:shd w:val="clear" w:color="auto" w:fill="FFFFFF"/>
        </w:rPr>
        <w:t>    四、管理要求</w:t>
      </w:r>
    </w:p>
    <w:p w14:paraId="1DAF6D7E">
      <w:pPr>
        <w:pStyle w:val="3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20" w:firstLineChars="200"/>
        <w:jc w:val="both"/>
        <w:textAlignment w:val="auto"/>
        <w:rPr>
          <w:rFonts w:ascii="仿宋_GB2312" w:eastAsia="仿宋_GB2312" w:cs="仿宋_GB2312"/>
          <w:color w:val="3D3D3D"/>
          <w:sz w:val="31"/>
          <w:szCs w:val="31"/>
          <w:shd w:val="clear" w:color="auto" w:fill="FFFFFF"/>
        </w:rPr>
      </w:pPr>
      <w:r>
        <w:rPr>
          <w:rFonts w:hint="eastAsia" w:ascii="楷体_GB2312" w:eastAsia="楷体_GB2312" w:cs="楷体_GB2312"/>
          <w:color w:val="3D3D3D"/>
          <w:sz w:val="31"/>
          <w:szCs w:val="31"/>
          <w:shd w:val="clear" w:color="auto" w:fill="FFFFFF"/>
        </w:rPr>
        <w:t>（一）突出财政资金的引导作用。</w:t>
      </w:r>
      <w:r>
        <w:rPr>
          <w:rFonts w:hint="eastAsia" w:ascii="仿宋_GB2312" w:eastAsia="仿宋_GB2312" w:cs="仿宋_GB2312"/>
          <w:color w:val="3D3D3D"/>
          <w:sz w:val="31"/>
          <w:szCs w:val="31"/>
          <w:shd w:val="clear" w:color="auto" w:fill="FFFFFF"/>
        </w:rPr>
        <w:t>项目资金由财政资金和社会投入共同组成。对投资总额超过3</w:t>
      </w:r>
      <w:r>
        <w:rPr>
          <w:rFonts w:ascii="仿宋_GB2312" w:eastAsia="仿宋_GB2312" w:cs="仿宋_GB2312"/>
          <w:color w:val="3D3D3D"/>
          <w:sz w:val="31"/>
          <w:szCs w:val="31"/>
          <w:shd w:val="clear" w:color="auto" w:fill="FFFFFF"/>
        </w:rPr>
        <w:t>00</w:t>
      </w:r>
      <w:r>
        <w:rPr>
          <w:rFonts w:hint="eastAsia" w:ascii="仿宋_GB2312" w:eastAsia="仿宋_GB2312" w:cs="仿宋_GB2312"/>
          <w:color w:val="3D3D3D"/>
          <w:sz w:val="31"/>
          <w:szCs w:val="31"/>
          <w:shd w:val="clear" w:color="auto" w:fill="FFFFFF"/>
        </w:rPr>
        <w:t>万的项目，按照总投资额的10%予以补助，补助金额最高不超过50万元。补助资金分两次拨付，项目立项成功后拨付补助总额的3</w:t>
      </w:r>
      <w:r>
        <w:rPr>
          <w:rFonts w:ascii="仿宋_GB2312" w:eastAsia="仿宋_GB2312" w:cs="仿宋_GB2312"/>
          <w:color w:val="3D3D3D"/>
          <w:sz w:val="31"/>
          <w:szCs w:val="31"/>
          <w:shd w:val="clear" w:color="auto" w:fill="FFFFFF"/>
        </w:rPr>
        <w:t>0%</w:t>
      </w:r>
      <w:r>
        <w:rPr>
          <w:rFonts w:hint="eastAsia" w:ascii="仿宋_GB2312" w:eastAsia="仿宋_GB2312" w:cs="仿宋_GB2312"/>
          <w:color w:val="3D3D3D"/>
          <w:sz w:val="31"/>
          <w:szCs w:val="31"/>
          <w:shd w:val="clear" w:color="auto" w:fill="FFFFFF"/>
        </w:rPr>
        <w:t>，项目验收通过后，拨付剩余7</w:t>
      </w:r>
      <w:r>
        <w:rPr>
          <w:rFonts w:ascii="仿宋_GB2312" w:eastAsia="仿宋_GB2312" w:cs="仿宋_GB2312"/>
          <w:color w:val="3D3D3D"/>
          <w:sz w:val="31"/>
          <w:szCs w:val="31"/>
          <w:shd w:val="clear" w:color="auto" w:fill="FFFFFF"/>
        </w:rPr>
        <w:t>0%</w:t>
      </w:r>
      <w:r>
        <w:rPr>
          <w:rFonts w:hint="eastAsia" w:ascii="仿宋_GB2312" w:eastAsia="仿宋_GB2312" w:cs="仿宋_GB2312"/>
          <w:color w:val="3D3D3D"/>
          <w:sz w:val="31"/>
          <w:szCs w:val="31"/>
          <w:shd w:val="clear" w:color="auto" w:fill="FFFFFF"/>
        </w:rPr>
        <w:t>补助资金。具体政策以《天津港保税区关于科技创新育成新质生产力的若干政策（试行）》（待发布）为准。</w:t>
      </w:r>
    </w:p>
    <w:p w14:paraId="37A76140">
      <w:pPr>
        <w:pStyle w:val="3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5"/>
        <w:jc w:val="both"/>
        <w:textAlignment w:val="auto"/>
        <w:rPr>
          <w:rFonts w:ascii="仿宋_GB2312" w:eastAsia="仿宋_GB2312" w:cs="仿宋_GB2312"/>
          <w:color w:val="3D3D3D"/>
          <w:sz w:val="31"/>
          <w:szCs w:val="31"/>
          <w:shd w:val="clear" w:color="auto" w:fill="FFFFFF"/>
        </w:rPr>
      </w:pPr>
      <w:r>
        <w:rPr>
          <w:rFonts w:hint="eastAsia" w:ascii="楷体_GB2312" w:eastAsia="楷体_GB2312" w:cs="楷体_GB2312"/>
          <w:color w:val="3D3D3D"/>
          <w:sz w:val="31"/>
          <w:szCs w:val="31"/>
          <w:shd w:val="clear" w:color="auto" w:fill="FFFFFF"/>
        </w:rPr>
        <w:t>（二）严格开展“里程碑”管理。</w:t>
      </w:r>
      <w:r>
        <w:rPr>
          <w:rFonts w:hint="eastAsia" w:ascii="仿宋_GB2312" w:eastAsia="仿宋_GB2312" w:cs="仿宋_GB2312"/>
          <w:color w:val="3D3D3D"/>
          <w:sz w:val="31"/>
          <w:szCs w:val="31"/>
          <w:shd w:val="clear" w:color="auto" w:fill="FFFFFF"/>
        </w:rPr>
        <w:t>全面精简项目实施周期内的各类评估、检查、抽查等活动，对照任务书实行关键节点管理。项目实施周期原则上不超过</w:t>
      </w:r>
      <w:r>
        <w:rPr>
          <w:rFonts w:ascii="仿宋_GB2312" w:hAnsi="仿宋_GB2312" w:eastAsia="仿宋_GB2312" w:cs="Nimbus Roman No9 L"/>
          <w:color w:val="3D3D3D"/>
          <w:sz w:val="31"/>
          <w:szCs w:val="31"/>
          <w:shd w:val="clear" w:color="auto" w:fill="FFFFFF"/>
        </w:rPr>
        <w:t>2</w:t>
      </w:r>
      <w:r>
        <w:rPr>
          <w:rFonts w:hint="eastAsia" w:ascii="仿宋_GB2312" w:hAnsi="仿宋_GB2312" w:eastAsia="仿宋_GB2312" w:cs="仿宋_GB2312"/>
          <w:color w:val="3D3D3D"/>
          <w:sz w:val="31"/>
          <w:szCs w:val="31"/>
          <w:shd w:val="clear" w:color="auto" w:fill="FFFFFF"/>
        </w:rPr>
        <w:t>年，确因不可抗拒因素导致项目未完成的，视情况办理延期或终止，延长期限原则上不超过</w:t>
      </w:r>
      <w:r>
        <w:rPr>
          <w:rFonts w:ascii="仿宋_GB2312" w:hAnsi="仿宋_GB2312" w:eastAsia="仿宋_GB2312" w:cs="Nimbus Roman No9 L"/>
          <w:color w:val="3D3D3D"/>
          <w:sz w:val="31"/>
          <w:szCs w:val="31"/>
          <w:shd w:val="clear" w:color="auto" w:fill="FFFFFF"/>
        </w:rPr>
        <w:t>6</w:t>
      </w:r>
      <w:r>
        <w:rPr>
          <w:rFonts w:hint="eastAsia" w:ascii="仿宋_GB2312" w:eastAsia="仿宋_GB2312" w:cs="仿宋_GB2312"/>
          <w:color w:val="3D3D3D"/>
          <w:sz w:val="31"/>
          <w:szCs w:val="31"/>
          <w:shd w:val="clear" w:color="auto" w:fill="FFFFFF"/>
        </w:rPr>
        <w:t>个月。</w:t>
      </w:r>
    </w:p>
    <w:p w14:paraId="373A5FAB">
      <w:pPr>
        <w:pStyle w:val="3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5"/>
        <w:jc w:val="both"/>
        <w:textAlignment w:val="auto"/>
        <w:rPr>
          <w:rFonts w:hint="eastAsia" w:ascii="仿宋_GB2312" w:hAnsi="Nimbus Roman No9 L" w:eastAsia="仿宋_GB2312" w:cs="仿宋_GB2312"/>
          <w:color w:val="3D3D3D"/>
          <w:sz w:val="31"/>
          <w:szCs w:val="31"/>
          <w:shd w:val="clear" w:color="auto" w:fill="FFFFFF"/>
        </w:rPr>
      </w:pPr>
      <w:r>
        <w:rPr>
          <w:rFonts w:hint="eastAsia" w:ascii="楷体_GB2312" w:eastAsia="楷体_GB2312" w:cs="楷体_GB2312"/>
          <w:color w:val="3D3D3D"/>
          <w:sz w:val="31"/>
          <w:szCs w:val="31"/>
          <w:shd w:val="clear" w:color="auto" w:fill="FFFFFF"/>
        </w:rPr>
        <w:t>（三）压实挂帅单位主体</w:t>
      </w:r>
      <w:r>
        <w:rPr>
          <w:rFonts w:hint="eastAsia" w:ascii="楷体_GB2312" w:hAnsi="Nimbus Roman No9 L" w:eastAsia="楷体_GB2312" w:cs="楷体_GB2312"/>
          <w:color w:val="3D3D3D"/>
          <w:sz w:val="31"/>
          <w:szCs w:val="31"/>
          <w:shd w:val="clear" w:color="auto" w:fill="FFFFFF"/>
        </w:rPr>
        <w:t>责任。</w:t>
      </w:r>
      <w:r>
        <w:rPr>
          <w:rFonts w:hint="eastAsia" w:ascii="仿宋_GB2312" w:eastAsia="仿宋_GB2312" w:cs="仿宋_GB2312"/>
          <w:color w:val="3D3D3D"/>
          <w:sz w:val="31"/>
          <w:szCs w:val="31"/>
          <w:shd w:val="clear" w:color="auto" w:fill="FFFFFF"/>
        </w:rPr>
        <w:t>挂帅单位要落实法人监管和科研诚信责任，实施科研诚信承诺制，加强制度执行及</w:t>
      </w:r>
      <w:r>
        <w:rPr>
          <w:rFonts w:hint="eastAsia" w:ascii="仿宋_GB2312" w:hAnsi="Nimbus Roman No9 L" w:eastAsia="仿宋_GB2312" w:cs="仿宋_GB2312"/>
          <w:color w:val="3D3D3D"/>
          <w:sz w:val="31"/>
          <w:szCs w:val="31"/>
          <w:shd w:val="clear" w:color="auto" w:fill="FFFFFF"/>
        </w:rPr>
        <w:t>日常监督检查，</w:t>
      </w:r>
      <w:r>
        <w:rPr>
          <w:rFonts w:hint="eastAsia" w:ascii="仿宋_GB2312" w:eastAsia="仿宋_GB2312" w:cs="仿宋_GB2312"/>
          <w:color w:val="3D3D3D"/>
          <w:sz w:val="31"/>
          <w:szCs w:val="31"/>
          <w:shd w:val="clear" w:color="auto" w:fill="FFFFFF"/>
        </w:rPr>
        <w:t>保障</w:t>
      </w:r>
      <w:r>
        <w:rPr>
          <w:rFonts w:hint="eastAsia" w:ascii="仿宋_GB2312" w:hAnsi="Nimbus Roman No9 L" w:eastAsia="仿宋_GB2312" w:cs="仿宋_GB2312"/>
          <w:color w:val="3D3D3D"/>
          <w:sz w:val="31"/>
          <w:szCs w:val="31"/>
          <w:shd w:val="clear" w:color="auto" w:fill="FFFFFF"/>
        </w:rPr>
        <w:t>项目顺利实施。</w:t>
      </w:r>
    </w:p>
    <w:p w14:paraId="51BA25E5">
      <w:pPr>
        <w:pStyle w:val="3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5"/>
        <w:jc w:val="both"/>
        <w:textAlignment w:val="auto"/>
        <w:rPr>
          <w:rFonts w:ascii="仿宋_GB2312" w:eastAsia="仿宋_GB2312" w:cs="仿宋_GB2312"/>
          <w:color w:val="3D3D3D"/>
          <w:sz w:val="31"/>
          <w:szCs w:val="31"/>
          <w:shd w:val="clear" w:color="auto" w:fill="FFFFFF"/>
        </w:rPr>
      </w:pPr>
      <w:r>
        <w:rPr>
          <w:rFonts w:hint="eastAsia" w:ascii="楷体_GB2312" w:eastAsia="楷体_GB2312" w:cs="楷体_GB2312"/>
          <w:color w:val="3D3D3D"/>
          <w:sz w:val="31"/>
          <w:szCs w:val="31"/>
          <w:shd w:val="clear" w:color="auto" w:fill="FFFFFF"/>
        </w:rPr>
        <w:t>（四）申报查重</w:t>
      </w:r>
      <w:r>
        <w:rPr>
          <w:rFonts w:hint="eastAsia" w:ascii="仿宋_GB2312" w:eastAsia="仿宋_GB2312" w:cs="仿宋_GB2312"/>
          <w:color w:val="3D3D3D"/>
          <w:sz w:val="32"/>
          <w:szCs w:val="32"/>
        </w:rPr>
        <w:t>。</w:t>
      </w:r>
      <w:r>
        <w:rPr>
          <w:rFonts w:hint="eastAsia" w:ascii="仿宋_GB2312" w:eastAsia="仿宋_GB2312" w:cs="仿宋_GB2312"/>
          <w:color w:val="3D3D3D"/>
          <w:sz w:val="31"/>
          <w:szCs w:val="31"/>
          <w:shd w:val="clear" w:color="auto" w:fill="FFFFFF"/>
        </w:rPr>
        <w:t>同一单位揭榜项目原则上不超过</w:t>
      </w:r>
      <w:r>
        <w:rPr>
          <w:rFonts w:ascii="仿宋_GB2312" w:eastAsia="仿宋_GB2312" w:cs="仿宋_GB2312"/>
          <w:color w:val="3D3D3D"/>
          <w:sz w:val="31"/>
          <w:szCs w:val="31"/>
          <w:shd w:val="clear" w:color="auto" w:fill="FFFFFF"/>
        </w:rPr>
        <w:t>2</w:t>
      </w:r>
      <w:r>
        <w:rPr>
          <w:rFonts w:hint="eastAsia" w:ascii="仿宋_GB2312" w:eastAsia="仿宋_GB2312" w:cs="仿宋_GB2312"/>
          <w:color w:val="3D3D3D"/>
          <w:sz w:val="31"/>
          <w:szCs w:val="31"/>
          <w:shd w:val="clear" w:color="auto" w:fill="FFFFFF"/>
        </w:rPr>
        <w:t>项。</w:t>
      </w:r>
    </w:p>
    <w:p w14:paraId="2DA29817">
      <w:pPr>
        <w:pStyle w:val="3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5"/>
        <w:jc w:val="both"/>
        <w:textAlignment w:val="auto"/>
        <w:rPr>
          <w:rFonts w:ascii="仿宋_GB2312" w:eastAsia="仿宋_GB2312" w:cs="仿宋_GB2312"/>
          <w:color w:val="3D3D3D"/>
          <w:sz w:val="31"/>
          <w:szCs w:val="31"/>
          <w:shd w:val="clear" w:color="auto" w:fill="FFFFFF"/>
        </w:rPr>
      </w:pPr>
      <w:r>
        <w:rPr>
          <w:rFonts w:hint="eastAsia" w:ascii="楷体_GB2312" w:eastAsia="楷体_GB2312" w:cs="楷体_GB2312"/>
          <w:color w:val="3D3D3D"/>
          <w:sz w:val="31"/>
          <w:szCs w:val="31"/>
          <w:shd w:val="clear" w:color="auto" w:fill="FFFFFF"/>
        </w:rPr>
        <w:t>（五）项目验收管理。</w:t>
      </w:r>
      <w:r>
        <w:rPr>
          <w:rFonts w:hint="eastAsia" w:ascii="仿宋_GB2312" w:eastAsia="仿宋_GB2312" w:cs="仿宋_GB2312"/>
          <w:color w:val="3D3D3D"/>
          <w:sz w:val="31"/>
          <w:szCs w:val="31"/>
          <w:shd w:val="clear" w:color="auto" w:fill="FFFFFF"/>
        </w:rPr>
        <w:t>对于完成攻关任务的，保税区科技局将挂帅单位和科研团队列为“科研攻关正面典型”。对于因主观因素导致攻关失败或者涉及经费使用、科研诚信等违规问题的，以及无正当理由未按期验收的，按照有关规定三年内不得申报保税区“揭榜挂帅”项目。</w:t>
      </w:r>
    </w:p>
    <w:p w14:paraId="18A57292">
      <w:pPr>
        <w:pStyle w:val="3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5"/>
        <w:jc w:val="both"/>
        <w:textAlignment w:val="auto"/>
        <w:rPr>
          <w:rFonts w:ascii="仿宋_GB2312" w:eastAsia="仿宋_GB2312" w:cs="仿宋_GB2312"/>
          <w:color w:val="3D3D3D"/>
          <w:sz w:val="32"/>
          <w:szCs w:val="32"/>
        </w:rPr>
      </w:pPr>
      <w:r>
        <w:rPr>
          <w:rFonts w:hint="eastAsia" w:ascii="楷体_GB2312" w:eastAsia="楷体_GB2312" w:cs="楷体_GB2312"/>
          <w:color w:val="3D3D3D"/>
          <w:sz w:val="31"/>
          <w:szCs w:val="31"/>
          <w:shd w:val="clear" w:color="auto" w:fill="FFFFFF"/>
        </w:rPr>
        <w:t>（六）完善</w:t>
      </w:r>
      <w:r>
        <w:rPr>
          <w:rFonts w:hint="eastAsia" w:ascii="楷体_GB2312" w:hAnsi="Nimbus Roman No9 L" w:eastAsia="楷体_GB2312" w:cs="楷体_GB2312"/>
          <w:color w:val="3D3D3D"/>
          <w:sz w:val="31"/>
          <w:szCs w:val="31"/>
          <w:shd w:val="clear" w:color="auto" w:fill="FFFFFF"/>
        </w:rPr>
        <w:t>重大创新容错机制。</w:t>
      </w:r>
      <w:r>
        <w:rPr>
          <w:rFonts w:hint="eastAsia" w:ascii="仿宋_GB2312" w:eastAsia="仿宋_GB2312" w:cs="仿宋_GB2312"/>
          <w:color w:val="3D3D3D"/>
          <w:sz w:val="31"/>
          <w:szCs w:val="31"/>
          <w:shd w:val="clear" w:color="auto" w:fill="FFFFFF"/>
        </w:rPr>
        <w:t>科研团队确已做到履职尽责的，对</w:t>
      </w:r>
      <w:r>
        <w:rPr>
          <w:rFonts w:hint="eastAsia" w:ascii="仿宋_GB2312" w:hAnsi="Nimbus Roman No9 L" w:eastAsia="仿宋_GB2312" w:cs="仿宋_GB2312"/>
          <w:color w:val="3D3D3D"/>
          <w:sz w:val="31"/>
          <w:szCs w:val="31"/>
          <w:shd w:val="clear" w:color="auto" w:fill="FFFFFF"/>
        </w:rPr>
        <w:t>受市场风险</w:t>
      </w:r>
      <w:r>
        <w:rPr>
          <w:rFonts w:hint="eastAsia" w:ascii="仿宋_GB2312" w:eastAsia="仿宋_GB2312" w:cs="仿宋_GB2312"/>
          <w:color w:val="3D3D3D"/>
          <w:sz w:val="31"/>
          <w:szCs w:val="31"/>
          <w:shd w:val="clear" w:color="auto" w:fill="FFFFFF"/>
        </w:rPr>
        <w:t>或其他不可抗拒因素</w:t>
      </w:r>
      <w:r>
        <w:rPr>
          <w:rFonts w:hint="eastAsia" w:ascii="仿宋_GB2312" w:hAnsi="Nimbus Roman No9 L" w:eastAsia="仿宋_GB2312" w:cs="仿宋_GB2312"/>
          <w:color w:val="3D3D3D"/>
          <w:sz w:val="31"/>
          <w:szCs w:val="31"/>
          <w:shd w:val="clear" w:color="auto" w:fill="FFFFFF"/>
        </w:rPr>
        <w:t>影响</w:t>
      </w:r>
      <w:r>
        <w:rPr>
          <w:rFonts w:hint="eastAsia" w:ascii="仿宋_GB2312" w:eastAsia="仿宋_GB2312" w:cs="仿宋_GB2312"/>
          <w:color w:val="3D3D3D"/>
          <w:sz w:val="31"/>
          <w:szCs w:val="31"/>
          <w:shd w:val="clear" w:color="auto" w:fill="FFFFFF"/>
        </w:rPr>
        <w:t>导致榜单指标未能完成的，本着鼓励创新、宽容失败的原则，可对其予以免责。</w:t>
      </w:r>
    </w:p>
    <w:p w14:paraId="162EEB4D">
      <w:pPr>
        <w:pStyle w:val="3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5"/>
        <w:jc w:val="both"/>
        <w:textAlignment w:val="auto"/>
        <w:rPr>
          <w:rFonts w:ascii="仿宋_GB2312" w:eastAsia="仿宋_GB2312" w:cs="仿宋_GB2312"/>
          <w:color w:val="3D3D3D"/>
          <w:sz w:val="32"/>
          <w:szCs w:val="32"/>
        </w:rPr>
      </w:pPr>
      <w:r>
        <w:rPr>
          <w:rFonts w:hint="eastAsia" w:ascii="黑体" w:hAnsi="宋体" w:eastAsia="黑体" w:cs="黑体"/>
          <w:color w:val="3D3D3D"/>
          <w:sz w:val="31"/>
          <w:szCs w:val="31"/>
          <w:shd w:val="clear" w:color="auto" w:fill="FFFFFF"/>
        </w:rPr>
        <w:t>五、附则</w:t>
      </w:r>
    </w:p>
    <w:p w14:paraId="46B22C99">
      <w:pPr>
        <w:pStyle w:val="3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315"/>
        <w:jc w:val="both"/>
        <w:textAlignment w:val="auto"/>
        <w:rPr>
          <w:rFonts w:ascii="仿宋_GB2312" w:eastAsia="仿宋_GB2312" w:cs="仿宋_GB2312"/>
          <w:color w:val="3D3D3D"/>
          <w:sz w:val="32"/>
          <w:szCs w:val="32"/>
        </w:rPr>
      </w:pPr>
      <w:r>
        <w:rPr>
          <w:rFonts w:hint="eastAsia" w:ascii="仿宋_GB2312" w:eastAsia="仿宋_GB2312" w:cs="仿宋_GB2312"/>
          <w:color w:val="3D3D3D"/>
          <w:sz w:val="31"/>
          <w:szCs w:val="31"/>
          <w:shd w:val="clear" w:color="auto" w:fill="FFFFFF"/>
        </w:rPr>
        <w:t>（一）本办法由保税区科技局负责解释。</w:t>
      </w:r>
    </w:p>
    <w:p w14:paraId="3E7432A8">
      <w:pPr>
        <w:pStyle w:val="3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315"/>
        <w:jc w:val="both"/>
        <w:textAlignment w:val="auto"/>
        <w:rPr>
          <w:rFonts w:ascii="仿宋_GB2312" w:eastAsia="仿宋_GB2312" w:cs="仿宋_GB2312"/>
          <w:color w:val="3D3D3D"/>
          <w:sz w:val="32"/>
          <w:szCs w:val="32"/>
        </w:rPr>
      </w:pPr>
      <w:r>
        <w:rPr>
          <w:rFonts w:hint="eastAsia" w:ascii="仿宋_GB2312" w:eastAsia="仿宋_GB2312" w:cs="仿宋_GB2312"/>
          <w:color w:val="3D3D3D"/>
          <w:sz w:val="31"/>
          <w:szCs w:val="31"/>
          <w:shd w:val="clear" w:color="auto" w:fill="FFFFFF"/>
        </w:rPr>
        <w:t>（二）未尽事宜，按相关法律法规执行。</w:t>
      </w:r>
    </w:p>
    <w:p w14:paraId="254C553E">
      <w:pPr>
        <w:pStyle w:val="3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315"/>
        <w:jc w:val="both"/>
        <w:textAlignment w:val="auto"/>
        <w:rPr>
          <w:rFonts w:hint="eastAsia" w:ascii="仿宋_GB2312" w:eastAsia="仿宋_GB2312" w:cs="仿宋_GB2312"/>
          <w:color w:val="3D3D3D"/>
          <w:sz w:val="31"/>
          <w:szCs w:val="31"/>
          <w:shd w:val="clear" w:color="auto" w:fill="FFFFFF"/>
        </w:rPr>
      </w:pPr>
      <w:r>
        <w:rPr>
          <w:rFonts w:hint="eastAsia" w:ascii="仿宋_GB2312" w:eastAsia="仿宋_GB2312" w:cs="仿宋_GB2312"/>
          <w:color w:val="3D3D3D"/>
          <w:sz w:val="31"/>
          <w:szCs w:val="31"/>
          <w:shd w:val="clear" w:color="auto" w:fill="FFFFFF"/>
        </w:rPr>
        <w:t>（三）本办法自印发之日起施行，有效期两年。</w:t>
      </w:r>
    </w:p>
    <w:p w14:paraId="1D2A9C2F">
      <w:pPr>
        <w:pStyle w:val="3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315"/>
        <w:jc w:val="both"/>
        <w:textAlignment w:val="auto"/>
        <w:rPr>
          <w:rFonts w:hint="eastAsia" w:ascii="仿宋_GB2312" w:eastAsia="仿宋_GB2312" w:cs="仿宋_GB2312"/>
          <w:color w:val="3D3D3D"/>
          <w:sz w:val="31"/>
          <w:szCs w:val="31"/>
          <w:shd w:val="clear" w:color="auto" w:fill="FFFFFF"/>
        </w:rPr>
      </w:pPr>
    </w:p>
    <w:p w14:paraId="51D1769B">
      <w:pPr>
        <w:pStyle w:val="3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315"/>
        <w:jc w:val="both"/>
        <w:textAlignment w:val="auto"/>
        <w:rPr>
          <w:rFonts w:hint="eastAsia" w:ascii="仿宋_GB2312" w:eastAsia="仿宋_GB2312" w:cs="仿宋_GB2312"/>
          <w:color w:val="3D3D3D"/>
          <w:sz w:val="31"/>
          <w:szCs w:val="31"/>
          <w:shd w:val="clear" w:color="auto" w:fill="FFFFFF"/>
        </w:rPr>
      </w:pPr>
    </w:p>
    <w:p w14:paraId="3224945D">
      <w:pPr>
        <w:pStyle w:val="3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315"/>
        <w:jc w:val="both"/>
        <w:textAlignment w:val="auto"/>
        <w:rPr>
          <w:rFonts w:hint="eastAsia" w:ascii="仿宋_GB2312" w:eastAsia="仿宋_GB2312" w:cs="仿宋_GB2312"/>
          <w:color w:val="3D3D3D"/>
          <w:sz w:val="31"/>
          <w:szCs w:val="31"/>
          <w:shd w:val="clear" w:color="auto" w:fill="FFFFFF"/>
        </w:rPr>
      </w:pPr>
    </w:p>
    <w:p w14:paraId="3D0C736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righ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2024年</w:t>
      </w:r>
      <w:r>
        <w:rPr>
          <w:rFonts w:ascii="仿宋_GB2312" w:hAnsi="仿宋_GB2312" w:eastAsia="仿宋_GB2312" w:cs="仿宋_GB2312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Nimbus Roman No9 L">
    <w:altName w:val="Segoe Print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xODUzNDg3NDllYTlkNzM3NmM4MDIwZjc3NDQyNjgifQ=="/>
  </w:docVars>
  <w:rsids>
    <w:rsidRoot w:val="001E4060"/>
    <w:rsid w:val="00062FF2"/>
    <w:rsid w:val="000852D9"/>
    <w:rsid w:val="000E3719"/>
    <w:rsid w:val="000F43F6"/>
    <w:rsid w:val="00102045"/>
    <w:rsid w:val="001136DA"/>
    <w:rsid w:val="0011763D"/>
    <w:rsid w:val="00176E11"/>
    <w:rsid w:val="001D77EB"/>
    <w:rsid w:val="001E4060"/>
    <w:rsid w:val="002F138B"/>
    <w:rsid w:val="002F4A19"/>
    <w:rsid w:val="00380CCB"/>
    <w:rsid w:val="00421C9B"/>
    <w:rsid w:val="004E50A1"/>
    <w:rsid w:val="00516C25"/>
    <w:rsid w:val="00581AC8"/>
    <w:rsid w:val="0058558A"/>
    <w:rsid w:val="005A0762"/>
    <w:rsid w:val="005C3207"/>
    <w:rsid w:val="005D29EB"/>
    <w:rsid w:val="006751E2"/>
    <w:rsid w:val="00740712"/>
    <w:rsid w:val="00741FB6"/>
    <w:rsid w:val="00784940"/>
    <w:rsid w:val="007B7C4D"/>
    <w:rsid w:val="008207C0"/>
    <w:rsid w:val="0084430E"/>
    <w:rsid w:val="008C508D"/>
    <w:rsid w:val="00910D0C"/>
    <w:rsid w:val="009D02DB"/>
    <w:rsid w:val="009D3599"/>
    <w:rsid w:val="00A01130"/>
    <w:rsid w:val="00A05B90"/>
    <w:rsid w:val="00A0749F"/>
    <w:rsid w:val="00A32AB0"/>
    <w:rsid w:val="00B179F0"/>
    <w:rsid w:val="00B879EC"/>
    <w:rsid w:val="00BF534B"/>
    <w:rsid w:val="00C92F41"/>
    <w:rsid w:val="00CF1591"/>
    <w:rsid w:val="00DB7621"/>
    <w:rsid w:val="00DC59D2"/>
    <w:rsid w:val="00E03418"/>
    <w:rsid w:val="00E86F0C"/>
    <w:rsid w:val="00F24090"/>
    <w:rsid w:val="00FD0430"/>
    <w:rsid w:val="02A81D04"/>
    <w:rsid w:val="03A10CAA"/>
    <w:rsid w:val="07291836"/>
    <w:rsid w:val="08805332"/>
    <w:rsid w:val="08F057F5"/>
    <w:rsid w:val="097C01EF"/>
    <w:rsid w:val="0D9D24E2"/>
    <w:rsid w:val="1211524D"/>
    <w:rsid w:val="15B4486D"/>
    <w:rsid w:val="15C529FA"/>
    <w:rsid w:val="18995A73"/>
    <w:rsid w:val="1D4806BC"/>
    <w:rsid w:val="1DCB6BF8"/>
    <w:rsid w:val="209C42D5"/>
    <w:rsid w:val="20F326ED"/>
    <w:rsid w:val="23CD1D77"/>
    <w:rsid w:val="26ED7BDF"/>
    <w:rsid w:val="299E3412"/>
    <w:rsid w:val="2AA131BA"/>
    <w:rsid w:val="2D2F201C"/>
    <w:rsid w:val="2DBA7A28"/>
    <w:rsid w:val="2E2362DA"/>
    <w:rsid w:val="2F4F7689"/>
    <w:rsid w:val="36EE77CC"/>
    <w:rsid w:val="373A5683"/>
    <w:rsid w:val="37F45271"/>
    <w:rsid w:val="381F1BC2"/>
    <w:rsid w:val="3B7F4AAD"/>
    <w:rsid w:val="3E3C527C"/>
    <w:rsid w:val="42943947"/>
    <w:rsid w:val="4359242C"/>
    <w:rsid w:val="4AEE5B50"/>
    <w:rsid w:val="4B047121"/>
    <w:rsid w:val="4C3E4383"/>
    <w:rsid w:val="4C7B3413"/>
    <w:rsid w:val="4D4F6D67"/>
    <w:rsid w:val="4F4A531F"/>
    <w:rsid w:val="500E459E"/>
    <w:rsid w:val="507F724A"/>
    <w:rsid w:val="50D56FA6"/>
    <w:rsid w:val="516F72BF"/>
    <w:rsid w:val="526130AB"/>
    <w:rsid w:val="531946E2"/>
    <w:rsid w:val="546A2608"/>
    <w:rsid w:val="54A92AE8"/>
    <w:rsid w:val="56222B52"/>
    <w:rsid w:val="592310BA"/>
    <w:rsid w:val="5B0B1E06"/>
    <w:rsid w:val="5B21162A"/>
    <w:rsid w:val="5C873EF2"/>
    <w:rsid w:val="5CBF10FA"/>
    <w:rsid w:val="5F97635E"/>
    <w:rsid w:val="6088608C"/>
    <w:rsid w:val="614E0C9F"/>
    <w:rsid w:val="680718E8"/>
    <w:rsid w:val="69DA3A17"/>
    <w:rsid w:val="6B575E38"/>
    <w:rsid w:val="6B59096C"/>
    <w:rsid w:val="6CAC3966"/>
    <w:rsid w:val="6D0B3EE8"/>
    <w:rsid w:val="6E49116B"/>
    <w:rsid w:val="70974410"/>
    <w:rsid w:val="7318110C"/>
    <w:rsid w:val="76F854DD"/>
    <w:rsid w:val="7C273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6"/>
    <w:qFormat/>
    <w:uiPriority w:val="0"/>
    <w:pPr>
      <w:spacing w:after="120"/>
    </w:pPr>
  </w:style>
  <w:style w:type="paragraph" w:styleId="3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6">
    <w:name w:val="正文文本 字符"/>
    <w:basedOn w:val="5"/>
    <w:link w:val="2"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2333</Words>
  <Characters>2350</Characters>
  <Lines>16</Lines>
  <Paragraphs>4</Paragraphs>
  <TotalTime>1</TotalTime>
  <ScaleCrop>false</ScaleCrop>
  <LinksUpToDate>false</LinksUpToDate>
  <CharactersWithSpaces>2352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2024-04-15T01:14:00Z</dcterms:created>
  <dc:creator>刘昊QD</dc:creator>
  <cp:lastModifiedBy>甜居酱</cp:lastModifiedBy>
  <dcterms:modified xsi:type="dcterms:W3CDTF">2024-07-30T03:41:15Z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9CF8C3D9AB144DEBB4423E87A92FCA23_12</vt:lpwstr>
  </property>
</Properties>
</file>