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before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316865</wp:posOffset>
                </wp:positionV>
                <wp:extent cx="6042660" cy="7010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5415" y="1138555"/>
                          <a:ext cx="604266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color w:val="FF0000"/>
                                <w:w w:val="9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color w:val="FF0000"/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95pt;margin-top:24.95pt;height:55.2pt;width:475.8pt;z-index:251660288;mso-width-relative:page;mso-height-relative:page;" filled="f" stroked="f" coordsize="21600,21600" o:gfxdata="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SsjtLcAAAACgEAAA8AAAAAAAAA&#10;AQAgAAAAIgAAAGRycy9kb3ducmV2LnhtbFBLAQIUABQAAAAIAIdO4kCNPBNWRgIAAHI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color w:val="FF0000"/>
                          <w:w w:val="90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color w:val="FF0000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before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before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南开区发展和改革委员会关于印发南开区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年国民经济和社会发展计划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各委、局、办，各街、公司: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《南开区202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年国民经济和社会发展计划》已经南开区第十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届人民代表大会第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次会议审议通过，现印发给你们，请结合工作职责抓好贯彻落实。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760" w:firstLineChars="14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  <w:t>南开区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2024年国民经济和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社会发展计划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24"/>
        </w:rPr>
        <w:t>2024年是中华人民共和国成立75周年，是我区实施</w:t>
      </w:r>
      <w:r>
        <w:rPr>
          <w:rFonts w:hint="eastAsia" w:ascii="Times New Roman" w:hAnsi="Times New Roman" w:eastAsia="仿宋_GB2312" w:cs="Times New Roman"/>
          <w:sz w:val="3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24"/>
        </w:rPr>
        <w:t>十四五</w:t>
      </w:r>
      <w:r>
        <w:rPr>
          <w:rFonts w:hint="eastAsia" w:ascii="Times New Roman" w:hAnsi="Times New Roman" w:eastAsia="仿宋_GB2312" w:cs="Times New Roman"/>
          <w:sz w:val="3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24"/>
        </w:rPr>
        <w:t>规划、全面建设社会主义现代化大都市核心区的关键一年。我们要坚持以习近平新时代中国特色社会主义思想为指导，全面贯彻落实党的二十大和二十届二中全会精神，认真落实习近平总书记对天津工作的一系列重要指示要求，深入落实中央经济工作会议精神和市委十二届四次全会、区委十二届八次全会精神，坚持稳中求进工作总基调，完整、准确、全面贯彻新发展理念，积极融入和服务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新发展格局，着力推动高质量发展，全面深化改革开放，统筹高质量发展和高水平安全，深入推进京津冀协同发展走深走实，扎实推动高质量发展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十项行动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深化拓展区委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一三二一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工作思路，大力推进科技创新、产业焕新、城市更新，进一步盘活存量、培育增量、提升质量，加快形成新质生产力，切实增强经济活力，巩固和增强经济回升向好态势，持续推动经济实现质的有效提升和量的合理增长，防范化解风险，改善社会预期，增进民生福祉，保持社会稳定，在奋力落实中国式现代化天津篇章的南开方案中展现更大作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一、2024年主要预期指标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地区生产总值同比增长4%以上，一般公共预算收入同比增长4%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固定资产投资同比增长5%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节能减排减污降碳完成市政府下达目标。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二、2024年经济社会发展重点任务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1.突出协同创新，推动重点产业强链集群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抢抓协同发展重大机遇。深度融入京津冀世界级城市群建设，主动承接北京非首都功能疏解，吸引更多高质量项目落户南开。着力构划与海淀区合作事项全景图，持续开展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海淀企业南开行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系列活动，促进两地产业链创新链人才链协同融合。主动融入京津冀统一大市场建设，持续新增政务服务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跨省通办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合作事项，助推京津冀医疗机构临床检验结果互认，让合作成果更多惠及群众。深化区域合作共赢，延伸与长春净月高新区交流广度深度，全面推进甘肃结对三县乡村振兴。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激活科教创新澎湃动能。纵深推进天开高教科创园核心区建设，推动物质绿色创造与制造产业技术研究院、天津大学新一代智慧物联科技创新平台项目尽快开工，深化8358所老院区、原中电科46所等地块建设方案，有效提升科技创新策源和成果转化承载功能。夯实科教融合发展支撑，促进基础教育优质均衡，新开工建设天拖中学、天拖小学、中医药大学地块小学，建成六马路地块小学、战备楼地块中学，完成二马路复建中学、西营门外小学扩建等工程，开展首批区级品牌高中建设，努力建设教育强区。倾力构筑人才生态高地，持续落实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海河英才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行动计划，优化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科创企业评职称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直通车、博士后工作站等政策服务，吸引高端人才创新创业项目落户南开。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塑造产业发展核心优势。巩固做强科技服务产业，聚焦人工智能、新能源新材料等战略性新兴产业技术创新，大力发展研发经济。着力引育概念认证、知识产权、小试中试、规划设计等专业服务机构，提质高技术服务效能。做深做精智能制造产业，全速推进西营门智能制造产业园、天拖智创谷项目进度，支持领军企业提质扩产，着力发展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两头在内、中间在外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即研发管理总部和销售结算总部在内、生产加工环节在外的都市型智能制造产业。做大做优医疗健康产业，强化龙头企业牵引带动作用，以国家中医药传承创新发展试验区建设为契机，带动更多企业成龙配套、成链成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加速重点产业集群成链。发挥创新资源汇聚优势，全力服务全市12条重点产业链发展。支持驻区高校院所、科技企业强化与市级链主企业深化上下游合作，带动区域产业焕新升级。推动全市信创龙头与我区企业合作，瞄准港口、教育、医疗、法律服务、智能校对等应用场景，开发建设专业大模型，发展生成式AI产业集群；促进蜀物智链、拾起卖大收场、天科数创等平台企业做大做强，发展工业互联网产业集群；围绕全市生物医药和高端装备两大主导产业，用好中国医学科学院医工所、天大医工院等资源，发展高端医疗器械产业集群；围绕文化资源丰富、体育场馆众多、5G环境好等比较优势，用好手游、网游行业方兴未艾的机遇，发展电子竞技产业集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2.畅通内外循环，增强经济增长持久动力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强化投资关键作用。围绕优化生产力布局，推动盘活存量载体资源，优先实施一批体量大、拉动力强的项目，形成更多实物工作量。加快项目前期工作进度，提高并联审批服务效率，促进符合条件的项目尽早开工。强化项目储备和滚动接续，完善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三个一批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项目清单，形成谋划一批、储备一批、在建一批的良性循环态势。积极扩展项目资金渠道，争取中央预算内投资、地方政府专项债及市级前期经费支持，鼓励民间资本参与基础设施建设和运营维护，不遗余力保障重点领域重点项目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加速释放消费潜力。丰富地标性商业综合体消费场景，促进大悦城、鲁能城、熙悦汇等商圈繁荣发展。持续推进天拖街区、海光MALL、世贸城等载体整体打造和高端商业导入，培育区域商贸消费新增长极。优化文商旅体融合发展布局，谋划开展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鼓楼—运河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城市更新项目，提升古文化街等重点街区品质。撬动文旅体育消费热点，用好奥体中心等大场大馆资源，增加大型体育赛事、文娱活动消费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留量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。推动黄河剧院等场所市场化开发，探索庄王府等景区文化IP挖掘和转化，打造一批沉浸式演艺新空间。围绕假日经济、夜间经济、首店经济，策划办好特色促消费活动，擦亮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’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得有你·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’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心四季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消费品牌。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拓展开放合作空间。树牢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产业所需才是招商所向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新理念，打好招商引资组合拳，促进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走出去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请进来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双向突破，加快发展更高层次的开放型经济。增加北京、长三角、珠三角等先进地区和西北、东北等互补地区拜访频次，深挖高校校友上市企业、行业龙头等潜在客商资源，引进一批重点产业链优质项目。推动外资外贸加快好转，支持恩恩科技等现有企业扩资增产。抢抓进出口博览会、服务贸易交易会等投资促进机遇，协同侨联、台联、市贸促会及津联集团、各驻外商会等资源，吸引更多增量项目落地。强化外贸综合服务平台服务支持，鼓励外贸企业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抱团出海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。深度对接天津港集团，聚力引育航运金融、航运科技、航运智库等航运经济，服务港产城高质量融合发展。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3.深化改革开放，对标争创一流营商环境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更深层次推进改革突破。认真落实新一轮机构改革任务，全面提升政府行政职能。落实加快建设全国统一大市场相关任务要求，面向市场准入、招标投标、政府采购等重点领域，开展不当市场干预和不当竞争行为常态化排查整治。纵深推进要素市场化改革，促进土地、劳动力、资本、技术、数据五大要素高效配置，逐步实现市场高效畅通和规模拓展。严格执行过紧日子标准，全面实施预算绩效管理，集中财力保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三保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支出。健全全口径债务监测预警机制，有效防范化解债务风险，确保财政安全平稳运行。积极稳妥推进环卫一体化改革，推动市容保洁作业专业化、市场化、社会化运营。更大力度提振市场信心。谋划实施深化国企改革行动，加快科创资本、天河资本、城服资本改革增效，推动国有资产保值增值。促进民营经济蓬勃发展，依法维护民营企业产权和企业家合法权益。进一步扩大包联服务企业覆盖范围，切实为民营企业解难题、办实事。支持市场主体创新发展，强化国家高新技术企业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雏鹰—瞪羚—领军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企业梯度培育，实现专精特新中小企业达到40家。推动区知识产权运营中心建设运营，促进知识产权高质量创造和高效益运用，积极申创国家知识产权强市建设试点城区。扎实推进社会信用体系建设，营造公平诚信市场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更高标准厚植营商沃土。出台全新营商环境建设方案，打造更加便捷高效的南开服务品牌。深化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放管服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改革，持续推进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一件事一次办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改革，推动高频事项集成化办理，逐步扩大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跨省通办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事项范围。促进政务服务数字化升级，推动审批服务向重要商圈、街道前移，不断优化企业群众就近办事体验。深入实施质量强区战略，推进计量、标准、认证等质量基础设施建设，推动质量强企和品牌建设，有效提高企业产品、工程和服务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4.坚持生态优先，推动城区能级蝶变跃升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稳妥有序推进城市更新。紧盯城建重点项目建设，预计全年新开工面积50万平方米，竣工面积70万平方米。加快新型城镇化建设步伐，全面落实中心城区更新提升行动，稳步推进西营门片区、天拖片区城市更新项目，加紧谋划长虹公园西片区、可口可乐厂区、天开园核心区及配套产业园、三峰客车厂、五金城西等新项目。推动54个老旧小区、258万平方米提升改造项目提速施工，惠及居民5万余户。提升土地资源利用效率，推动水厂南地块等3宗土地出让，盘活迎水道B地块等6宗土地，建设高品质住宅、保障房等，满足各类人才需求。保障推进地铁7号线、8号线、11号线延长线建设及房屋土地征收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精雕细琢优化城市管理。用足用好智慧城管平台，增强城市运行事项高效处置能力。着力畅通城市路网循环，实施文水路等10条道路工程。持续利用零散地块、闲置空地增建停车泊位，有效规范道路交通秩序。加强市政管网精细化养护管理，完成凌奥花园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三期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、锦园里、金庄花园等39个积水点改造、417个雨污混接点改造，精准治理城市内涝顽疾。深化生活垃圾全流程分类处理，推动精品示范社区分类厢房建设，加大市容巡查和扫保力度，努力打造清净整洁、文明秀美的城市环境。减污降碳加速绿色转型。坚定不移推动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双碳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目标扎实落地，大力推行绿色生产方式，鼓励节能环保、资源综合利用等产业项目布局。推动基础设施绿色化升级，新建建筑100%执行绿色建筑标准。倡导绿色生活全民行动，持续创建绿色社区、绿色商场、绿色餐厅等示范典型，争创市级碳达峰试点区。持之以恒打好污染防治攻坚战，环境空气质量综合指数排名保持全市前列，水质达标率和优良水体比例保持100%。打造城市绿色生态会客厅，完成长虹公园品质提升一期工程并向市民开放，新建提升4个口袋公园，积极申创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美丽河湖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优秀案例，高标准迎接第三轮中央环保督察。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5.聚焦以人为本，促进美好生活共创共享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提升基本民生保障能力。精心组织实施20项民心工程。全力推动高质量充分就业，发挥创业带动就业倍增效应，新增就业、城镇调查失业率控制范围完成全市下达任务指标，争创全国就业创业服务示范城区。规范企业用工行为，保障劳动者合法权益。深入实施全民参保计划，扩大灵活就业人员、新就业形态从业人员参保范围，推动基本养老保险参保人数持续增长。广泛开展双拥共建，巩固全国双拥模范城建设成果。提升退役军人安置质量，保障好退役军人合法权益。健全分类分层社会救助体系，做好低保对象、特困人员、残疾人等困难群体关爱帮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力促公共服务提标扩面。深入实施高品质生活创造行动，积极回应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一老一小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民生关切，持续扩大普惠托育服务供给。推进儿童友好城区建设，打造一批示范性市级儿童友好社区。丰富街道养老服务综合体功能，推动日间照料中心建设，提升老人家食堂服务水平，争创全国居家和社区基本养老服务提升行动试点。纵深推进健康南开建设，积极创建全国基层中医药工作示范市。推动二级公立医院重点专科建设。完善基层医疗卫生服务，加快胸痛救治单元、糖尿病规范化管理中心建设。持续巩固国家慢性病综合防控示范区创建成果。加强地方病防治能力建设，提高疾病防治水平。不断繁荣体育文化事业，提升打造区公共文化服务中心，创新举办多形式的文化惠民活动，做好天津马拉松等赛事保障，为群众休闲生活加码添彩。全力创建全国文明城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切实守牢安全稳定底线。持续深化基层治理创新，打造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全科网格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升级版，努力实现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一网统管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。构建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五社联动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治理机制，推动社区多方主体协同共治。深入开展安全生产治本攻坚三年行动，持续开展燃气、消防、危化品、建筑施工、道路交通等重点行业领域排查整治，坚决防范遏制重特大事故发生。提速奥体中心、汾水道消防站建设进度，适时推动新建1处固定避难场所，不断增强防灾减灾能力。完善粮食监测预警和应急保障机制，切实保障粮食安全。强化社会治安防控体系建设，常态化开展扫黑除恶斗争，依法打击各类违法犯罪活动，建设更高水平的平安南开。</w:t>
      </w:r>
    </w:p>
    <w:sectPr>
      <w:footerReference r:id="rId5" w:type="default"/>
      <w:pgSz w:w="11910" w:h="16840"/>
      <w:pgMar w:top="2098" w:right="1474" w:bottom="1984" w:left="1587" w:header="0" w:footer="146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GY2MGZkMzA1M2M5Zjg4MTFhMDlmNDExNTljNjIifQ=="/>
    <w:docVar w:name="KSO_WPS_MARK_KEY" w:val="f0d4841f-294b-4780-9fe6-43fb45baa498"/>
  </w:docVars>
  <w:rsids>
    <w:rsidRoot w:val="00000000"/>
    <w:rsid w:val="3E4B23E7"/>
    <w:rsid w:val="46F97347"/>
    <w:rsid w:val="7EB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ordWrap w:val="0"/>
      <w:spacing w:line="588" w:lineRule="exact"/>
    </w:pPr>
    <w:rPr>
      <w:rFonts w:ascii="仿宋_GB2312" w:hAnsi="仿宋_GB2312" w:eastAsia="仿宋_GB2312"/>
    </w:rPr>
  </w:style>
  <w:style w:type="paragraph" w:styleId="3">
    <w:name w:val="Plain Text"/>
    <w:basedOn w:val="1"/>
    <w:qFormat/>
    <w:uiPriority w:val="0"/>
    <w:rPr>
      <w:rFonts w:ascii="方正书宋_GBK" w:hAnsi="DejaVu San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a0"/>
    <w:basedOn w:val="9"/>
    <w:next w:val="9"/>
    <w:unhideWhenUsed/>
    <w:qFormat/>
    <w:uiPriority w:val="99"/>
    <w:pPr>
      <w:spacing w:beforeLines="0" w:afterLines="0" w:line="241" w:lineRule="atLeast"/>
    </w:pPr>
    <w:rPr>
      <w:rFonts w:hint="eastAsia"/>
      <w:sz w:val="24"/>
      <w:szCs w:val="24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简体" w:hAnsi="方正小标宋简体" w:eastAsia="方正小标宋简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4884</Words>
  <Characters>4947</Characters>
  <Lines>0</Lines>
  <Paragraphs>0</Paragraphs>
  <TotalTime>27</TotalTime>
  <ScaleCrop>false</ScaleCrop>
  <LinksUpToDate>false</LinksUpToDate>
  <CharactersWithSpaces>4947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2024-01-15T06:20:00Z</dcterms:created>
  <dc:creator>10292</dc:creator>
  <cp:lastModifiedBy>Administrator</cp:lastModifiedBy>
  <dcterms:modified xsi:type="dcterms:W3CDTF">2024-01-22T03:51:12Z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D7D2450B80C4462AA724CD840A688C31_12</vt:lpwstr>
  </property>
</Properties>
</file>