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eastAsia="zh-CN"/>
        </w:rPr>
        <w:t>附件</w:t>
      </w:r>
      <w:r>
        <w:rPr>
          <w:rFonts w:hint="eastAsia" w:ascii="黑体" w:hAnsi="黑体" w:eastAsia="黑体" w:cs="黑体"/>
          <w:snapToGrid w:val="0"/>
          <w:color w:val="auto"/>
          <w:kern w:val="0"/>
          <w:sz w:val="32"/>
          <w:szCs w:val="32"/>
          <w:lang w:val="en-US" w:eastAsia="zh-CN"/>
        </w:rPr>
        <w:t>2</w:t>
      </w:r>
    </w:p>
    <w:p>
      <w:pPr>
        <w:pStyle w:val="2"/>
        <w:rPr>
          <w:rFonts w:hint="eastAsia" w:eastAsia="宋体"/>
          <w:color w:val="auto"/>
          <w:sz w:val="21"/>
          <w:szCs w:val="24"/>
          <w:lang w:val="en-US" w:eastAsia="zh-CN"/>
        </w:rPr>
      </w:pPr>
    </w:p>
    <w:p>
      <w:pPr>
        <w:adjustRightInd w:val="0"/>
        <w:snapToGrid w:val="0"/>
        <w:spacing w:line="680" w:lineRule="exact"/>
        <w:jc w:val="center"/>
        <w:rPr>
          <w:rFonts w:hint="eastAsia" w:ascii="方正小标宋简体" w:hAnsi="宋体" w:eastAsia="方正小标宋简体"/>
          <w:snapToGrid w:val="0"/>
          <w:color w:val="auto"/>
          <w:kern w:val="0"/>
          <w:sz w:val="44"/>
          <w:szCs w:val="44"/>
          <w:lang w:eastAsia="zh-CN"/>
        </w:rPr>
      </w:pPr>
      <w:r>
        <w:rPr>
          <w:rFonts w:hint="eastAsia" w:ascii="方正小标宋简体" w:hAnsi="宋体" w:eastAsia="方正小标宋简体"/>
          <w:snapToGrid w:val="0"/>
          <w:color w:val="auto"/>
          <w:kern w:val="0"/>
          <w:sz w:val="44"/>
          <w:szCs w:val="44"/>
          <w:lang w:eastAsia="zh-CN"/>
        </w:rPr>
        <w:t>天津市加快推动医药外包服务行业</w:t>
      </w:r>
    </w:p>
    <w:p>
      <w:pPr>
        <w:adjustRightInd w:val="0"/>
        <w:snapToGrid w:val="0"/>
        <w:spacing w:line="680" w:lineRule="exact"/>
        <w:jc w:val="center"/>
        <w:rPr>
          <w:rFonts w:hint="eastAsia" w:ascii="方正小标宋简体" w:hAnsi="宋体" w:eastAsia="方正小标宋简体"/>
          <w:snapToGrid w:val="0"/>
          <w:color w:val="auto"/>
          <w:kern w:val="0"/>
          <w:sz w:val="44"/>
          <w:szCs w:val="44"/>
          <w:lang w:val="en-US" w:eastAsia="zh-CN"/>
        </w:rPr>
      </w:pPr>
      <w:r>
        <w:rPr>
          <w:rFonts w:hint="eastAsia" w:ascii="方正小标宋简体" w:hAnsi="宋体" w:eastAsia="方正小标宋简体"/>
          <w:snapToGrid w:val="0"/>
          <w:color w:val="auto"/>
          <w:kern w:val="0"/>
          <w:sz w:val="44"/>
          <w:szCs w:val="44"/>
        </w:rPr>
        <w:t>发展实施</w:t>
      </w:r>
      <w:r>
        <w:rPr>
          <w:rFonts w:hint="eastAsia" w:ascii="方正小标宋简体" w:hAnsi="宋体" w:eastAsia="方正小标宋简体"/>
          <w:snapToGrid w:val="0"/>
          <w:color w:val="auto"/>
          <w:kern w:val="0"/>
          <w:sz w:val="44"/>
          <w:szCs w:val="44"/>
          <w:lang w:val="en-US" w:eastAsia="zh-CN"/>
        </w:rPr>
        <w:t>方案</w:t>
      </w:r>
    </w:p>
    <w:p>
      <w:pPr>
        <w:adjustRightInd w:val="0"/>
        <w:snapToGrid w:val="0"/>
        <w:spacing w:line="680" w:lineRule="exact"/>
        <w:jc w:val="center"/>
        <w:rPr>
          <w:rFonts w:hint="eastAsia" w:ascii="楷体_GB2312" w:hAnsi="楷体_GB2312" w:eastAsia="楷体_GB2312" w:cs="楷体_GB2312"/>
          <w:i w:val="0"/>
          <w:iCs w:val="0"/>
          <w:color w:val="auto"/>
          <w:spacing w:val="-23"/>
          <w:kern w:val="0"/>
          <w:sz w:val="32"/>
          <w:szCs w:val="32"/>
          <w:lang w:eastAsia="zh-CN"/>
        </w:rPr>
      </w:pPr>
      <w:r>
        <w:rPr>
          <w:rFonts w:hint="eastAsia" w:ascii="楷体_GB2312" w:hAnsi="楷体_GB2312" w:eastAsia="楷体_GB2312" w:cs="楷体_GB2312"/>
          <w:i w:val="0"/>
          <w:iCs w:val="0"/>
          <w:color w:val="auto"/>
          <w:spacing w:val="-23"/>
          <w:kern w:val="0"/>
          <w:sz w:val="32"/>
          <w:szCs w:val="32"/>
          <w:lang w:eastAsia="zh-CN"/>
        </w:rPr>
        <w:t>（征求意见稿）</w:t>
      </w:r>
    </w:p>
    <w:p>
      <w:pPr>
        <w:pStyle w:val="3"/>
        <w:rPr>
          <w:rFonts w:hint="eastAsia"/>
          <w:color w:val="auto"/>
        </w:rPr>
      </w:pPr>
    </w:p>
    <w:p>
      <w:pPr>
        <w:adjustRightInd w:val="0"/>
        <w:snapToGrid w:val="0"/>
        <w:spacing w:line="560" w:lineRule="exact"/>
        <w:ind w:firstLine="606" w:firstLineChars="200"/>
        <w:rPr>
          <w:rFonts w:hint="eastAsia" w:ascii="仿宋_GB2312" w:hAnsi="Times New Roman" w:eastAsia="仿宋_GB2312" w:cs="Times New Roman"/>
          <w:snapToGrid w:val="0"/>
          <w:color w:val="auto"/>
          <w:kern w:val="0"/>
          <w:sz w:val="32"/>
          <w:szCs w:val="32"/>
        </w:rPr>
      </w:pPr>
      <w:r>
        <w:rPr>
          <w:rFonts w:hint="eastAsia" w:eastAsia="仿宋_GB2312"/>
          <w:snapToGrid w:val="0"/>
          <w:color w:val="auto"/>
          <w:kern w:val="0"/>
          <w:sz w:val="32"/>
          <w:szCs w:val="32"/>
        </w:rPr>
        <w:t>为</w:t>
      </w:r>
      <w:r>
        <w:rPr>
          <w:rFonts w:hint="eastAsia" w:eastAsia="仿宋_GB2312"/>
          <w:snapToGrid w:val="0"/>
          <w:color w:val="auto"/>
          <w:kern w:val="0"/>
          <w:sz w:val="32"/>
          <w:szCs w:val="32"/>
          <w:lang w:eastAsia="zh-CN"/>
        </w:rPr>
        <w:t>全面</w:t>
      </w:r>
      <w:r>
        <w:rPr>
          <w:rFonts w:hint="eastAsia" w:eastAsia="仿宋_GB2312"/>
          <w:snapToGrid w:val="0"/>
          <w:color w:val="auto"/>
          <w:kern w:val="0"/>
          <w:sz w:val="32"/>
          <w:szCs w:val="32"/>
        </w:rPr>
        <w:t>贯彻党的二十大</w:t>
      </w:r>
      <w:r>
        <w:rPr>
          <w:rFonts w:hint="eastAsia" w:eastAsia="仿宋_GB2312"/>
          <w:snapToGrid w:val="0"/>
          <w:color w:val="auto"/>
          <w:kern w:val="0"/>
          <w:sz w:val="32"/>
          <w:szCs w:val="32"/>
          <w:lang w:eastAsia="zh-CN"/>
        </w:rPr>
        <w:t>和二十届二中全会</w:t>
      </w:r>
      <w:r>
        <w:rPr>
          <w:rFonts w:hint="eastAsia" w:eastAsia="仿宋_GB2312"/>
          <w:snapToGrid w:val="0"/>
          <w:color w:val="auto"/>
          <w:kern w:val="0"/>
          <w:sz w:val="32"/>
          <w:szCs w:val="32"/>
        </w:rPr>
        <w:t>精神</w:t>
      </w:r>
      <w:r>
        <w:rPr>
          <w:rFonts w:hint="eastAsia" w:eastAsia="仿宋_GB2312"/>
          <w:snapToGrid w:val="0"/>
          <w:color w:val="auto"/>
          <w:kern w:val="0"/>
          <w:sz w:val="32"/>
          <w:szCs w:val="32"/>
          <w:lang w:eastAsia="zh-CN"/>
        </w:rPr>
        <w:t>，深入学习贯彻</w:t>
      </w:r>
      <w:r>
        <w:rPr>
          <w:rFonts w:hint="eastAsia" w:eastAsia="仿宋_GB2312"/>
          <w:snapToGrid w:val="0"/>
          <w:color w:val="auto"/>
          <w:kern w:val="0"/>
          <w:sz w:val="32"/>
          <w:szCs w:val="32"/>
        </w:rPr>
        <w:t>习近平总书记</w:t>
      </w:r>
      <w:r>
        <w:rPr>
          <w:rFonts w:hint="eastAsia" w:eastAsia="仿宋_GB2312"/>
          <w:snapToGrid w:val="0"/>
          <w:color w:val="auto"/>
          <w:kern w:val="0"/>
          <w:sz w:val="32"/>
          <w:szCs w:val="32"/>
          <w:lang w:eastAsia="zh-CN"/>
        </w:rPr>
        <w:t>视察天津重要讲话精神，认真落实习近平总书记视察天津提出的“在发展新质生产力上善做善成”的重要要求</w:t>
      </w:r>
      <w:r>
        <w:rPr>
          <w:rFonts w:hint="eastAsia" w:eastAsia="仿宋_GB2312"/>
          <w:snapToGrid w:val="0"/>
          <w:color w:val="auto"/>
          <w:kern w:val="0"/>
          <w:sz w:val="32"/>
          <w:szCs w:val="32"/>
        </w:rPr>
        <w:t>，</w:t>
      </w:r>
      <w:r>
        <w:rPr>
          <w:rFonts w:hint="eastAsia" w:eastAsia="仿宋_GB2312"/>
          <w:snapToGrid w:val="0"/>
          <w:color w:val="auto"/>
          <w:kern w:val="0"/>
          <w:sz w:val="32"/>
          <w:szCs w:val="32"/>
          <w:lang w:eastAsia="zh-CN"/>
        </w:rPr>
        <w:t>扎实实施高质量发展</w:t>
      </w:r>
      <w:r>
        <w:rPr>
          <w:rFonts w:hint="eastAsia" w:eastAsia="仿宋_GB2312"/>
          <w:snapToGrid w:val="0"/>
          <w:color w:val="auto"/>
          <w:kern w:val="0"/>
          <w:sz w:val="32"/>
          <w:szCs w:val="32"/>
        </w:rPr>
        <w:t>“十项行动”，</w:t>
      </w:r>
      <w:r>
        <w:rPr>
          <w:rFonts w:hint="eastAsia" w:ascii="仿宋_GB2312" w:hAnsi="Times New Roman" w:eastAsia="仿宋_GB2312" w:cs="Times New Roman"/>
          <w:snapToGrid w:val="0"/>
          <w:color w:val="auto"/>
          <w:kern w:val="0"/>
          <w:sz w:val="32"/>
          <w:szCs w:val="32"/>
        </w:rPr>
        <w:t>推进</w:t>
      </w:r>
      <w:r>
        <w:rPr>
          <w:rFonts w:hint="eastAsia" w:ascii="仿宋_GB2312" w:hAnsi="Times New Roman" w:eastAsia="仿宋_GB2312" w:cs="Times New Roman"/>
          <w:snapToGrid w:val="0"/>
          <w:color w:val="auto"/>
          <w:kern w:val="0"/>
          <w:sz w:val="32"/>
          <w:szCs w:val="32"/>
          <w:lang w:val="en-US" w:eastAsia="zh-CN"/>
        </w:rPr>
        <w:t>医药外包服务行业高质量发展</w:t>
      </w:r>
      <w:r>
        <w:rPr>
          <w:rFonts w:hint="eastAsia" w:ascii="仿宋_GB2312" w:hAnsi="Times New Roman" w:eastAsia="仿宋_GB2312" w:cs="Times New Roman"/>
          <w:snapToGrid w:val="0"/>
          <w:color w:val="auto"/>
          <w:kern w:val="0"/>
          <w:sz w:val="32"/>
          <w:szCs w:val="32"/>
        </w:rPr>
        <w:t>，进一步提升本市</w:t>
      </w:r>
      <w:r>
        <w:rPr>
          <w:rFonts w:hint="eastAsia" w:ascii="仿宋_GB2312" w:hAnsi="Times New Roman" w:eastAsia="仿宋_GB2312" w:cs="Times New Roman"/>
          <w:snapToGrid w:val="0"/>
          <w:color w:val="auto"/>
          <w:kern w:val="0"/>
          <w:sz w:val="32"/>
          <w:szCs w:val="32"/>
          <w:lang w:val="en-US" w:eastAsia="zh-CN"/>
        </w:rPr>
        <w:t>医药外包服务行业发展活力和</w:t>
      </w:r>
      <w:r>
        <w:rPr>
          <w:rFonts w:hint="eastAsia" w:ascii="仿宋_GB2312" w:hAnsi="Times New Roman" w:eastAsia="仿宋_GB2312" w:cs="Times New Roman"/>
          <w:snapToGrid w:val="0"/>
          <w:color w:val="auto"/>
          <w:kern w:val="0"/>
          <w:sz w:val="32"/>
          <w:szCs w:val="32"/>
        </w:rPr>
        <w:t>核心竞争力，制定本</w:t>
      </w:r>
      <w:r>
        <w:rPr>
          <w:rFonts w:hint="eastAsia" w:ascii="仿宋_GB2312" w:hAnsi="Times New Roman" w:eastAsia="仿宋_GB2312" w:cs="Times New Roman"/>
          <w:snapToGrid w:val="0"/>
          <w:color w:val="auto"/>
          <w:kern w:val="0"/>
          <w:sz w:val="32"/>
          <w:szCs w:val="32"/>
          <w:lang w:val="en-US" w:eastAsia="zh-CN"/>
        </w:rPr>
        <w:t>实施</w:t>
      </w:r>
      <w:r>
        <w:rPr>
          <w:rFonts w:hint="eastAsia" w:ascii="仿宋_GB2312" w:hAnsi="Times New Roman" w:eastAsia="仿宋_GB2312" w:cs="Times New Roman"/>
          <w:snapToGrid w:val="0"/>
          <w:color w:val="auto"/>
          <w:kern w:val="0"/>
          <w:sz w:val="32"/>
          <w:szCs w:val="32"/>
          <w:lang w:eastAsia="zh-CN"/>
        </w:rPr>
        <w:t>方案</w:t>
      </w:r>
      <w:r>
        <w:rPr>
          <w:rFonts w:hint="eastAsia" w:ascii="仿宋_GB2312" w:hAnsi="Times New Roman" w:eastAsia="仿宋_GB2312" w:cs="Times New Roman"/>
          <w:snapToGrid w:val="0"/>
          <w:color w:val="auto"/>
          <w:kern w:val="0"/>
          <w:sz w:val="32"/>
          <w:szCs w:val="32"/>
        </w:rPr>
        <w:t>。</w:t>
      </w:r>
    </w:p>
    <w:p>
      <w:pPr>
        <w:adjustRightInd w:val="0"/>
        <w:snapToGrid w:val="0"/>
        <w:spacing w:line="560" w:lineRule="exact"/>
        <w:ind w:firstLine="606" w:firstLineChars="200"/>
        <w:rPr>
          <w:rFonts w:hint="eastAsia" w:ascii="黑体" w:hAnsi="黑体" w:eastAsia="黑体" w:cs="Times New Roman"/>
          <w:snapToGrid w:val="0"/>
          <w:color w:val="auto"/>
          <w:kern w:val="0"/>
          <w:sz w:val="32"/>
          <w:szCs w:val="32"/>
          <w:lang w:eastAsia="zh-CN"/>
        </w:rPr>
      </w:pPr>
      <w:r>
        <w:rPr>
          <w:rFonts w:hint="eastAsia" w:ascii="黑体" w:hAnsi="黑体" w:eastAsia="黑体" w:cs="Times New Roman"/>
          <w:snapToGrid w:val="0"/>
          <w:color w:val="auto"/>
          <w:kern w:val="0"/>
          <w:sz w:val="32"/>
          <w:szCs w:val="32"/>
          <w:lang w:eastAsia="zh-CN"/>
        </w:rPr>
        <w:t>一、总体要求</w:t>
      </w:r>
    </w:p>
    <w:p>
      <w:pPr>
        <w:adjustRightInd w:val="0"/>
        <w:snapToGrid w:val="0"/>
        <w:spacing w:line="560" w:lineRule="exact"/>
        <w:ind w:firstLine="606" w:firstLineChars="200"/>
        <w:rPr>
          <w:rFonts w:hint="eastAsia" w:eastAsia="仿宋_GB2312"/>
          <w:snapToGrid w:val="0"/>
          <w:color w:val="auto"/>
          <w:kern w:val="0"/>
          <w:sz w:val="32"/>
          <w:szCs w:val="32"/>
        </w:rPr>
      </w:pPr>
      <w:r>
        <w:rPr>
          <w:rFonts w:hint="eastAsia" w:eastAsia="仿宋_GB2312"/>
          <w:snapToGrid w:val="0"/>
          <w:color w:val="auto"/>
          <w:kern w:val="0"/>
          <w:sz w:val="32"/>
          <w:szCs w:val="32"/>
          <w:lang w:eastAsia="zh-CN"/>
        </w:rPr>
        <w:t>充分发挥</w:t>
      </w:r>
      <w:r>
        <w:rPr>
          <w:rFonts w:hint="eastAsia" w:eastAsia="仿宋_GB2312"/>
          <w:snapToGrid w:val="0"/>
          <w:color w:val="auto"/>
          <w:kern w:val="0"/>
          <w:sz w:val="32"/>
          <w:szCs w:val="32"/>
        </w:rPr>
        <w:t>天津</w:t>
      </w:r>
      <w:r>
        <w:rPr>
          <w:rFonts w:hint="eastAsia" w:eastAsia="仿宋_GB2312"/>
          <w:snapToGrid w:val="0"/>
          <w:color w:val="auto"/>
          <w:kern w:val="0"/>
          <w:sz w:val="32"/>
          <w:szCs w:val="32"/>
          <w:lang w:val="en-US" w:eastAsia="zh-CN"/>
        </w:rPr>
        <w:t>全国先进制造研发基地作用，利用天津科教资源丰富、产业基础雄厚、生产要素齐全等优势，抢抓我国医药外包服务行业升级调整</w:t>
      </w:r>
      <w:r>
        <w:rPr>
          <w:rFonts w:hint="eastAsia" w:eastAsia="仿宋_GB2312"/>
          <w:snapToGrid w:val="0"/>
          <w:color w:val="auto"/>
          <w:kern w:val="0"/>
          <w:sz w:val="32"/>
          <w:szCs w:val="32"/>
        </w:rPr>
        <w:t>期</w:t>
      </w:r>
      <w:r>
        <w:rPr>
          <w:rFonts w:hint="eastAsia" w:eastAsia="仿宋_GB2312"/>
          <w:snapToGrid w:val="0"/>
          <w:color w:val="auto"/>
          <w:kern w:val="0"/>
          <w:sz w:val="32"/>
          <w:szCs w:val="32"/>
          <w:lang w:eastAsia="zh-CN"/>
        </w:rPr>
        <w:t>和资本窗口期，</w:t>
      </w:r>
      <w:r>
        <w:rPr>
          <w:rFonts w:hint="eastAsia" w:eastAsia="仿宋_GB2312"/>
          <w:snapToGrid w:val="0"/>
          <w:color w:val="auto"/>
          <w:kern w:val="0"/>
          <w:sz w:val="32"/>
          <w:szCs w:val="32"/>
          <w:lang w:val="en-US" w:eastAsia="zh-CN"/>
        </w:rPr>
        <w:t>谋划建设医药外包服务行业（</w:t>
      </w:r>
      <w:r>
        <w:rPr>
          <w:rFonts w:hint="eastAsia" w:eastAsia="仿宋_GB2312"/>
          <w:snapToGrid w:val="0"/>
          <w:color w:val="auto"/>
          <w:kern w:val="0"/>
          <w:sz w:val="32"/>
          <w:szCs w:val="32"/>
        </w:rPr>
        <w:t>CRO</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rPr>
        <w:t>合同定制研发</w:t>
      </w:r>
      <w:r>
        <w:rPr>
          <w:rFonts w:hint="eastAsia" w:eastAsia="仿宋_GB2312"/>
          <w:snapToGrid w:val="0"/>
          <w:color w:val="auto"/>
          <w:kern w:val="0"/>
          <w:sz w:val="32"/>
          <w:szCs w:val="32"/>
          <w:lang w:eastAsia="zh-CN"/>
        </w:rPr>
        <w:t>企业</w:t>
      </w:r>
      <w:r>
        <w:rPr>
          <w:rFonts w:hint="eastAsia" w:eastAsia="仿宋_GB2312"/>
          <w:snapToGrid w:val="0"/>
          <w:color w:val="auto"/>
          <w:kern w:val="0"/>
          <w:sz w:val="32"/>
          <w:szCs w:val="32"/>
          <w:lang w:val="en" w:eastAsia="zh-CN"/>
        </w:rPr>
        <w:t>、</w:t>
      </w:r>
      <w:r>
        <w:rPr>
          <w:rFonts w:hint="eastAsia" w:eastAsia="仿宋_GB2312"/>
          <w:snapToGrid w:val="0"/>
          <w:color w:val="auto"/>
          <w:kern w:val="0"/>
          <w:sz w:val="32"/>
          <w:szCs w:val="32"/>
          <w:lang w:eastAsia="zh-CN"/>
        </w:rPr>
        <w:t>CMO—医药合同定制生产企业、CDMO—医药合同定制研发及生产企业</w:t>
      </w:r>
      <w:r>
        <w:rPr>
          <w:rFonts w:hint="eastAsia" w:eastAsia="仿宋_GB2312"/>
          <w:snapToGrid w:val="0"/>
          <w:color w:val="auto"/>
          <w:kern w:val="0"/>
          <w:sz w:val="32"/>
          <w:szCs w:val="32"/>
          <w:lang w:val="en-US" w:eastAsia="zh-CN"/>
        </w:rPr>
        <w:t>）全方位、</w:t>
      </w:r>
      <w:r>
        <w:rPr>
          <w:rFonts w:hint="eastAsia" w:eastAsia="仿宋_GB2312"/>
          <w:snapToGrid w:val="0"/>
          <w:color w:val="auto"/>
          <w:kern w:val="0"/>
          <w:sz w:val="32"/>
          <w:szCs w:val="32"/>
          <w:lang w:eastAsia="zh-CN"/>
        </w:rPr>
        <w:t>全链条</w:t>
      </w:r>
      <w:r>
        <w:rPr>
          <w:rFonts w:hint="eastAsia" w:eastAsia="仿宋_GB2312"/>
          <w:snapToGrid w:val="0"/>
          <w:color w:val="auto"/>
          <w:kern w:val="0"/>
          <w:sz w:val="32"/>
          <w:szCs w:val="32"/>
          <w:lang w:val="en-US" w:eastAsia="zh-CN"/>
        </w:rPr>
        <w:t>支撑体系，完善产业优质发展生态，</w:t>
      </w:r>
      <w:r>
        <w:rPr>
          <w:rFonts w:hint="eastAsia" w:eastAsia="仿宋_GB2312"/>
          <w:snapToGrid w:val="0"/>
          <w:color w:val="auto"/>
          <w:kern w:val="0"/>
          <w:sz w:val="32"/>
          <w:szCs w:val="32"/>
          <w:lang w:eastAsia="zh-CN"/>
        </w:rPr>
        <w:t>全力推进</w:t>
      </w:r>
      <w:r>
        <w:rPr>
          <w:rFonts w:hint="eastAsia" w:eastAsia="仿宋_GB2312"/>
          <w:snapToGrid w:val="0"/>
          <w:color w:val="auto"/>
          <w:kern w:val="0"/>
          <w:sz w:val="32"/>
          <w:szCs w:val="32"/>
        </w:rPr>
        <w:t>我市</w:t>
      </w:r>
      <w:r>
        <w:rPr>
          <w:rFonts w:hint="eastAsia" w:eastAsia="仿宋_GB2312"/>
          <w:snapToGrid w:val="0"/>
          <w:color w:val="auto"/>
          <w:kern w:val="0"/>
          <w:sz w:val="32"/>
          <w:szCs w:val="32"/>
          <w:lang w:val="en-US" w:eastAsia="zh-CN"/>
        </w:rPr>
        <w:t>医药外包服务行业高速发展</w:t>
      </w:r>
      <w:r>
        <w:rPr>
          <w:rFonts w:hint="eastAsia" w:eastAsia="仿宋_GB2312"/>
          <w:snapToGrid w:val="0"/>
          <w:color w:val="auto"/>
          <w:kern w:val="0"/>
          <w:sz w:val="32"/>
          <w:szCs w:val="32"/>
        </w:rPr>
        <w:t>，</w:t>
      </w:r>
      <w:r>
        <w:rPr>
          <w:rFonts w:hint="eastAsia" w:eastAsia="仿宋_GB2312"/>
          <w:snapToGrid w:val="0"/>
          <w:color w:val="auto"/>
          <w:kern w:val="0"/>
          <w:sz w:val="32"/>
          <w:szCs w:val="32"/>
          <w:lang w:eastAsia="zh-CN"/>
        </w:rPr>
        <w:t>引领</w:t>
      </w:r>
      <w:r>
        <w:rPr>
          <w:rFonts w:hint="eastAsia" w:eastAsia="仿宋_GB2312"/>
          <w:snapToGrid w:val="0"/>
          <w:color w:val="auto"/>
          <w:kern w:val="0"/>
          <w:sz w:val="32"/>
          <w:szCs w:val="32"/>
          <w:lang w:val="en-US" w:eastAsia="zh-CN"/>
        </w:rPr>
        <w:t>我市生物医药产业</w:t>
      </w:r>
      <w:r>
        <w:rPr>
          <w:rFonts w:hint="eastAsia" w:eastAsia="仿宋_GB2312"/>
          <w:snapToGrid w:val="0"/>
          <w:color w:val="auto"/>
          <w:kern w:val="0"/>
          <w:sz w:val="32"/>
          <w:szCs w:val="32"/>
        </w:rPr>
        <w:t>高质量发展</w:t>
      </w:r>
      <w:r>
        <w:rPr>
          <w:rFonts w:hint="eastAsia" w:eastAsia="仿宋_GB2312"/>
          <w:snapToGrid w:val="0"/>
          <w:color w:val="auto"/>
          <w:kern w:val="0"/>
          <w:sz w:val="32"/>
          <w:szCs w:val="32"/>
          <w:lang w:eastAsia="zh-CN"/>
        </w:rPr>
        <w:t>，为加快发展新质生产力提供有力支撑。</w:t>
      </w:r>
    </w:p>
    <w:p>
      <w:pPr>
        <w:adjustRightInd w:val="0"/>
        <w:snapToGrid w:val="0"/>
        <w:spacing w:line="560" w:lineRule="exact"/>
        <w:ind w:firstLine="606" w:firstLineChars="200"/>
        <w:rPr>
          <w:rFonts w:hint="eastAsia" w:ascii="黑体" w:hAnsi="黑体" w:eastAsia="黑体"/>
          <w:snapToGrid w:val="0"/>
          <w:color w:val="auto"/>
          <w:kern w:val="0"/>
          <w:sz w:val="32"/>
          <w:szCs w:val="32"/>
        </w:rPr>
      </w:pPr>
      <w:r>
        <w:rPr>
          <w:rFonts w:hint="eastAsia" w:ascii="黑体" w:hAnsi="黑体" w:eastAsia="黑体"/>
          <w:snapToGrid w:val="0"/>
          <w:color w:val="auto"/>
          <w:kern w:val="0"/>
          <w:sz w:val="32"/>
          <w:szCs w:val="32"/>
          <w:lang w:eastAsia="zh-CN"/>
        </w:rPr>
        <w:t>二</w:t>
      </w:r>
      <w:r>
        <w:rPr>
          <w:rFonts w:hint="eastAsia" w:ascii="黑体" w:hAnsi="黑体" w:eastAsia="黑体"/>
          <w:snapToGrid w:val="0"/>
          <w:color w:val="auto"/>
          <w:kern w:val="0"/>
          <w:sz w:val="32"/>
          <w:szCs w:val="32"/>
        </w:rPr>
        <w:t>、</w:t>
      </w:r>
      <w:r>
        <w:rPr>
          <w:rFonts w:hint="eastAsia" w:ascii="黑体" w:hAnsi="黑体" w:eastAsia="黑体"/>
          <w:snapToGrid w:val="0"/>
          <w:color w:val="auto"/>
          <w:kern w:val="0"/>
          <w:sz w:val="32"/>
          <w:szCs w:val="32"/>
          <w:lang w:val="en-US" w:eastAsia="zh-CN"/>
        </w:rPr>
        <w:t>发展目标</w:t>
      </w:r>
    </w:p>
    <w:p>
      <w:pPr>
        <w:adjustRightInd w:val="0"/>
        <w:snapToGrid w:val="0"/>
        <w:spacing w:line="560" w:lineRule="exact"/>
        <w:ind w:firstLine="606" w:firstLineChars="200"/>
        <w:rPr>
          <w:rFonts w:hint="eastAsia" w:eastAsia="仿宋_GB2312"/>
          <w:snapToGrid w:val="0"/>
          <w:color w:val="auto"/>
          <w:kern w:val="0"/>
          <w:sz w:val="32"/>
          <w:szCs w:val="32"/>
        </w:rPr>
      </w:pPr>
      <w:r>
        <w:rPr>
          <w:rFonts w:hint="eastAsia" w:eastAsia="仿宋_GB2312"/>
          <w:snapToGrid w:val="0"/>
          <w:color w:val="auto"/>
          <w:kern w:val="0"/>
          <w:sz w:val="32"/>
          <w:szCs w:val="32"/>
          <w:lang w:eastAsia="zh-CN"/>
        </w:rPr>
        <w:t>以全面提升我市</w:t>
      </w:r>
      <w:r>
        <w:rPr>
          <w:rFonts w:hint="eastAsia" w:eastAsia="仿宋_GB2312"/>
          <w:snapToGrid w:val="0"/>
          <w:color w:val="auto"/>
          <w:kern w:val="0"/>
          <w:sz w:val="32"/>
          <w:szCs w:val="32"/>
          <w:lang w:val="en-US" w:eastAsia="zh-CN"/>
        </w:rPr>
        <w:t>医药外包服务行业</w:t>
      </w:r>
      <w:r>
        <w:rPr>
          <w:rFonts w:hint="eastAsia" w:eastAsia="仿宋_GB2312"/>
          <w:snapToGrid w:val="0"/>
          <w:color w:val="auto"/>
          <w:kern w:val="0"/>
          <w:sz w:val="32"/>
          <w:szCs w:val="32"/>
          <w:lang w:eastAsia="zh-CN"/>
        </w:rPr>
        <w:t>创新能力和综合实力为目标，通过构筑完善产业链和创新链体系，提升我市</w:t>
      </w:r>
      <w:r>
        <w:rPr>
          <w:rFonts w:hint="eastAsia" w:eastAsia="仿宋_GB2312"/>
          <w:snapToGrid w:val="0"/>
          <w:color w:val="auto"/>
          <w:kern w:val="0"/>
          <w:sz w:val="32"/>
          <w:szCs w:val="32"/>
          <w:lang w:val="en-US" w:eastAsia="zh-CN"/>
        </w:rPr>
        <w:t>医药外包行业</w:t>
      </w:r>
      <w:r>
        <w:rPr>
          <w:rFonts w:hint="eastAsia" w:eastAsia="仿宋_GB2312"/>
          <w:snapToGrid w:val="0"/>
          <w:color w:val="auto"/>
          <w:kern w:val="0"/>
          <w:sz w:val="32"/>
          <w:szCs w:val="32"/>
          <w:lang w:eastAsia="zh-CN"/>
        </w:rPr>
        <w:t>的整体规模和创新水平，推动</w:t>
      </w:r>
      <w:r>
        <w:rPr>
          <w:rFonts w:hint="eastAsia" w:eastAsia="仿宋_GB2312"/>
          <w:snapToGrid w:val="0"/>
          <w:color w:val="auto"/>
          <w:kern w:val="0"/>
          <w:sz w:val="32"/>
          <w:szCs w:val="32"/>
          <w:lang w:val="en-US" w:eastAsia="zh-CN"/>
        </w:rPr>
        <w:t>行业</w:t>
      </w:r>
      <w:r>
        <w:rPr>
          <w:rFonts w:hint="eastAsia" w:eastAsia="仿宋_GB2312"/>
          <w:snapToGrid w:val="0"/>
          <w:color w:val="auto"/>
          <w:kern w:val="0"/>
          <w:sz w:val="32"/>
          <w:szCs w:val="32"/>
          <w:lang w:eastAsia="zh-CN"/>
        </w:rPr>
        <w:t>高质量发展。到</w:t>
      </w:r>
      <w:r>
        <w:rPr>
          <w:rFonts w:hint="eastAsia" w:eastAsia="仿宋_GB2312"/>
          <w:snapToGrid w:val="0"/>
          <w:color w:val="auto"/>
          <w:kern w:val="0"/>
          <w:sz w:val="32"/>
          <w:szCs w:val="32"/>
          <w:lang w:val="en-US" w:eastAsia="zh-CN"/>
        </w:rPr>
        <w:t>2026</w:t>
      </w:r>
      <w:r>
        <w:rPr>
          <w:rFonts w:hint="eastAsia" w:eastAsia="仿宋_GB2312"/>
          <w:snapToGrid w:val="0"/>
          <w:color w:val="auto"/>
          <w:kern w:val="0"/>
          <w:sz w:val="32"/>
          <w:szCs w:val="32"/>
          <w:lang w:eastAsia="zh-CN"/>
        </w:rPr>
        <w:t>年，</w:t>
      </w:r>
      <w:r>
        <w:rPr>
          <w:rFonts w:hint="eastAsia" w:eastAsia="仿宋_GB2312"/>
          <w:snapToGrid w:val="0"/>
          <w:color w:val="auto"/>
          <w:kern w:val="0"/>
          <w:sz w:val="32"/>
          <w:szCs w:val="32"/>
          <w:lang w:val="en-US" w:eastAsia="zh-CN"/>
        </w:rPr>
        <w:t>医药外包服务行业营业收入达到180亿元，</w:t>
      </w:r>
      <w:r>
        <w:rPr>
          <w:rFonts w:hint="eastAsia" w:eastAsia="仿宋_GB2312"/>
          <w:snapToGrid w:val="0"/>
          <w:color w:val="auto"/>
          <w:kern w:val="0"/>
          <w:sz w:val="32"/>
          <w:szCs w:val="32"/>
          <w:lang w:eastAsia="zh-CN"/>
        </w:rPr>
        <w:t>年均增速超</w:t>
      </w:r>
      <w:r>
        <w:rPr>
          <w:rFonts w:hint="eastAsia" w:eastAsia="仿宋_GB2312"/>
          <w:snapToGrid w:val="0"/>
          <w:color w:val="auto"/>
          <w:kern w:val="0"/>
          <w:sz w:val="32"/>
          <w:szCs w:val="32"/>
          <w:lang w:val="en-US" w:eastAsia="zh-CN"/>
        </w:rPr>
        <w:t>15</w:t>
      </w:r>
      <w:r>
        <w:rPr>
          <w:rFonts w:hint="eastAsia" w:eastAsia="仿宋_GB2312"/>
          <w:snapToGrid w:val="0"/>
          <w:color w:val="auto"/>
          <w:kern w:val="0"/>
          <w:sz w:val="32"/>
          <w:szCs w:val="32"/>
          <w:lang w:eastAsia="zh-CN"/>
        </w:rPr>
        <w:t>%。构建起</w:t>
      </w:r>
      <w:r>
        <w:rPr>
          <w:rFonts w:hint="eastAsia" w:eastAsia="仿宋_GB2312"/>
          <w:snapToGrid w:val="0"/>
          <w:color w:val="auto"/>
          <w:kern w:val="0"/>
          <w:sz w:val="32"/>
          <w:szCs w:val="32"/>
          <w:lang w:val="en-US" w:eastAsia="zh-CN"/>
        </w:rPr>
        <w:t>以小分子化药研发制造外包服务为基础，化学大分子、中药、医疗器械外包服务行业全面发展</w:t>
      </w:r>
      <w:r>
        <w:rPr>
          <w:rFonts w:hint="eastAsia" w:eastAsia="仿宋_GB2312"/>
          <w:snapToGrid w:val="0"/>
          <w:color w:val="auto"/>
          <w:kern w:val="0"/>
          <w:sz w:val="32"/>
          <w:szCs w:val="32"/>
          <w:lang w:eastAsia="zh-CN"/>
        </w:rPr>
        <w:t>的</w:t>
      </w:r>
      <w:r>
        <w:rPr>
          <w:rFonts w:hint="eastAsia" w:eastAsia="仿宋_GB2312"/>
          <w:snapToGrid w:val="0"/>
          <w:color w:val="auto"/>
          <w:kern w:val="0"/>
          <w:sz w:val="32"/>
          <w:szCs w:val="32"/>
          <w:lang w:val="en-US" w:eastAsia="zh-CN"/>
        </w:rPr>
        <w:t>行业格局</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lang w:val="en-US" w:eastAsia="zh-CN"/>
        </w:rPr>
        <w:t>医药外包行业</w:t>
      </w:r>
      <w:r>
        <w:rPr>
          <w:rFonts w:hint="eastAsia" w:eastAsia="仿宋_GB2312"/>
          <w:snapToGrid w:val="0"/>
          <w:color w:val="auto"/>
          <w:kern w:val="0"/>
          <w:sz w:val="32"/>
          <w:szCs w:val="32"/>
          <w:lang w:eastAsia="zh-CN"/>
        </w:rPr>
        <w:t>整体实力位居全国前列，成为我市新质生产力高质量发展的重要支撑。</w:t>
      </w:r>
    </w:p>
    <w:p>
      <w:pPr>
        <w:adjustRightInd w:val="0"/>
        <w:snapToGrid w:val="0"/>
        <w:spacing w:line="560" w:lineRule="exact"/>
        <w:ind w:firstLine="606" w:firstLineChars="200"/>
        <w:rPr>
          <w:rFonts w:hint="eastAsia" w:ascii="黑体" w:hAnsi="黑体" w:eastAsia="黑体" w:cs="Times New Roman"/>
          <w:snapToGrid w:val="0"/>
          <w:color w:val="auto"/>
          <w:kern w:val="0"/>
          <w:sz w:val="32"/>
          <w:szCs w:val="32"/>
          <w:lang w:eastAsia="zh-CN"/>
        </w:rPr>
      </w:pPr>
      <w:r>
        <w:rPr>
          <w:rFonts w:hint="eastAsia" w:ascii="黑体" w:hAnsi="黑体" w:eastAsia="黑体" w:cs="Times New Roman"/>
          <w:snapToGrid w:val="0"/>
          <w:color w:val="auto"/>
          <w:kern w:val="0"/>
          <w:sz w:val="32"/>
          <w:szCs w:val="32"/>
          <w:lang w:eastAsia="zh-CN"/>
        </w:rPr>
        <w:t>三、重点任务</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（一）</w:t>
      </w:r>
      <w:r>
        <w:rPr>
          <w:rFonts w:hint="eastAsia" w:ascii="楷体_GB2312" w:eastAsia="楷体_GB2312"/>
          <w:snapToGrid w:val="0"/>
          <w:color w:val="auto"/>
          <w:kern w:val="0"/>
          <w:sz w:val="32"/>
          <w:szCs w:val="32"/>
          <w:lang w:val="en-US" w:eastAsia="zh-CN"/>
        </w:rPr>
        <w:t>支持医药外包服务行业创新发展</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支持药物成药性评价与系统转化全国重点实验室、天津市药物绿色合成技术企业重点实验室、天津市新药临床技术创新中心等科技创新服务平台建设。加强我市医药外包服务领域概念验证中心建设，考核优秀的，按照不高于年度服务总收入的50%、最高额度不超过50万元的标准给予补助。支持医药外包服务企业牵头或参与天津市创新联合体建设，推动医药外包服务行业整体提升。鼓励医药外包服务行业大力发展实</w:t>
      </w:r>
      <w:r>
        <w:rPr>
          <w:rFonts w:hint="eastAsia" w:eastAsia="仿宋_GB2312"/>
          <w:snapToGrid w:val="0"/>
          <w:color w:val="auto"/>
          <w:kern w:val="0"/>
          <w:sz w:val="32"/>
          <w:szCs w:val="32"/>
          <w:lang w:eastAsia="zh-CN"/>
        </w:rPr>
        <w:t>验大动物（模型动物）、临床试验现场管理（</w:t>
      </w:r>
      <w:r>
        <w:rPr>
          <w:rFonts w:hint="eastAsia" w:eastAsia="仿宋_GB2312"/>
          <w:snapToGrid w:val="0"/>
          <w:color w:val="auto"/>
          <w:kern w:val="0"/>
          <w:sz w:val="32"/>
          <w:szCs w:val="32"/>
          <w:lang w:val="en-US" w:eastAsia="zh-CN"/>
        </w:rPr>
        <w:t>SMO</w:t>
      </w:r>
      <w:r>
        <w:rPr>
          <w:rFonts w:hint="eastAsia" w:eastAsia="仿宋_GB2312"/>
          <w:snapToGrid w:val="0"/>
          <w:color w:val="auto"/>
          <w:kern w:val="0"/>
          <w:sz w:val="32"/>
          <w:szCs w:val="32"/>
          <w:lang w:eastAsia="zh-CN"/>
        </w:rPr>
        <w:t>）等专业化服务平台，助推我市生物医药创新成果尽快实现产业化。</w:t>
      </w:r>
      <w:r>
        <w:rPr>
          <w:rFonts w:hint="eastAsia" w:eastAsia="仿宋_GB2312"/>
          <w:snapToGrid w:val="0"/>
          <w:color w:val="auto"/>
          <w:kern w:val="0"/>
          <w:sz w:val="32"/>
          <w:szCs w:val="32"/>
          <w:lang w:val="en-US" w:eastAsia="zh-CN"/>
        </w:rPr>
        <w:t>（责任部门：市科技局）</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二</w:t>
      </w:r>
      <w:r>
        <w:rPr>
          <w:rFonts w:hint="eastAsia" w:ascii="楷体_GB2312" w:eastAsia="楷体_GB2312"/>
          <w:snapToGrid w:val="0"/>
          <w:color w:val="auto"/>
          <w:kern w:val="0"/>
          <w:sz w:val="32"/>
          <w:szCs w:val="32"/>
        </w:rPr>
        <w:t>）鼓励</w:t>
      </w:r>
      <w:r>
        <w:rPr>
          <w:rFonts w:hint="eastAsia" w:ascii="楷体_GB2312" w:eastAsia="楷体_GB2312"/>
          <w:snapToGrid w:val="0"/>
          <w:color w:val="auto"/>
          <w:kern w:val="0"/>
          <w:sz w:val="32"/>
          <w:szCs w:val="32"/>
          <w:lang w:eastAsia="zh-CN"/>
        </w:rPr>
        <w:t>服务本市企业</w:t>
      </w:r>
      <w:r>
        <w:rPr>
          <w:rFonts w:hint="eastAsia" w:ascii="楷体_GB2312" w:eastAsia="楷体_GB2312"/>
          <w:snapToGrid w:val="0"/>
          <w:color w:val="auto"/>
          <w:kern w:val="0"/>
          <w:sz w:val="32"/>
          <w:szCs w:val="32"/>
        </w:rPr>
        <w:t>研发生产</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鼓励医药外包服务企业进一步深化与我市医药生产企业合作，我市医药外包服务企业承接本市医药企业（委托双方须无投资关联情况）的研发服务费用达到一定额度的，通过科技型企业发展相关政策对受委托方给予支持。鼓励我市医药外包服务企业申请成为创新券服务提供机构，为我市医药中小企业提供研究开发等有偿服务。（责任部门：市科技局）</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三</w:t>
      </w: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加大医药外包服务行业引育力度</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鼓励外省市医药外包服务企业在津落地，培育CMO、CDMO等企业，根据我市制造业高质量发展政策给予支持。对促进智能化、高端化、绿色化、数字化、低碳化、增产扩能等新一轮工业技术改造以及补足重点产业关键环节短板的重大项目根据我市制造业高质量发展政策给予支持。（责任部门：市工业和信息化局、市科技局）</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四</w:t>
      </w: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val="en-US" w:eastAsia="zh-CN"/>
        </w:rPr>
        <w:t>鼓励医疗机构开展药械临床试验</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eastAsia="仿宋_GB2312"/>
          <w:snapToGrid w:val="0"/>
          <w:color w:val="auto"/>
          <w:kern w:val="0"/>
          <w:sz w:val="32"/>
          <w:szCs w:val="32"/>
          <w:lang w:val="en-US" w:eastAsia="zh-CN"/>
        </w:rPr>
        <w:t>鼓励医疗机构开展药械临床试验，将临床研究纳入三级公立医院绩效考核指标体系。引导通过药物临床试验备案或医疗器械临床试验备案的医疗机构，为本市生物医药企业提供临床试验服务。鼓励建设研究型病房，研究型病房不纳入医疗机构床位数管理，临床研究床位不纳入病床效益、周转率、使用率等考核。对积极开展和承接临床研究的医护人员在岗位设置、职务晋升等方面加大倾斜力度。实施伦理审查结果互认，全面提升创新药械临床研究和成果转化应用能力。（责任部门：市卫生健康委、市科技局、市药监局）</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五</w:t>
      </w: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val="en-US" w:eastAsia="zh-CN"/>
        </w:rPr>
        <w:t>强化医药外包服务行业人才保障</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支持医药外包服务企业引进培育具有较强创新潜力和工作能力的青年人才，对重点产业链企业全职引进的博士、博士后等青年人才，按照相关人才培养引进项目实施办法给予奖励资助。支持我市高等院校加强建设或开设药物筛选、临床试验与监查、数据管理与分析、药理毒理及安全性评价等与医药外包服务相关专业。鼓励我市医药院校与企业联合办学，建设相关产业学院，培养复合型人才，为医药外包服务行业发展提供人才支撑。吸引外省市临床研究人才通过交流等方式在我市临床研究机构开展研究工作。（责任部门：市人社局、市工业和信息化局、市科协、市教委、市科技局）</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六</w:t>
      </w: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val="en-US" w:eastAsia="zh-CN"/>
        </w:rPr>
        <w:t>引育上下游企业在津落地</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开展“链式”招商，发挥我市医药外包服务重点企业优势，依靠供应链上下游协同作用和行业相关、人脉相通的优势，引进业务客户、合作伙伴、供应商及相关配套企业等来津投资，推动更多新药、仿制药项目在津落地生产。鼓励医药外包服务企业通过药品上市许可持有人制度，积极承接外省市医药产品生产业务。加强资本招商，发挥海河产业基金等引导作用，加大对医药外包服务行业优质项目的投资侧重并利用我市各主题园区优势争取将相关企业落地。拓展平台招商，与各类医药行业协会等组织加强合作，积极组织相关部门赴外埠参加相关行业活动，推动项目合作。（责任部门：市科技局、市投资促进局、市委金融办、市药监局、天津市海河产业基金管理有限公司）</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七</w:t>
      </w: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val="en-US" w:eastAsia="zh-CN"/>
        </w:rPr>
        <w:t>加强医药外包服务主题园区建设</w:t>
      </w:r>
    </w:p>
    <w:p>
      <w:pPr>
        <w:pStyle w:val="3"/>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围绕天津经济技术开发区等重点区域打造以医药外包服务企业为核心的规模化主题园区，承接生物医药领域技术输出与招商成果。鼓励园区建设满足医药外包服务行业研发和生产企业需求的标准化实验室和厂房，将医药外包服务用房、用地、用能优先纳入建设规划、能耗保障和用地需求，保障优质企业的发展空间。鼓励我市医药外包服务企业积极入驻天开高教科创园建设概念验证中心，加快行业集聚。实施生物医药研发用物品“白名单”政策，提升生物医药研发用物品进口的便利化水平。（责任部门：滨海新区政府、市科技局、市药监局、市商务局、自贸试验区管委会）</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八</w:t>
      </w:r>
      <w:r>
        <w:rPr>
          <w:rFonts w:hint="eastAsia" w:ascii="楷体_GB2312" w:eastAsia="楷体_GB2312"/>
          <w:snapToGrid w:val="0"/>
          <w:color w:val="auto"/>
          <w:kern w:val="0"/>
          <w:sz w:val="32"/>
          <w:szCs w:val="32"/>
        </w:rPr>
        <w:t>）加强金融投资支持</w:t>
      </w:r>
      <w:r>
        <w:rPr>
          <w:rFonts w:hint="eastAsia" w:ascii="楷体_GB2312" w:eastAsia="楷体_GB2312"/>
          <w:snapToGrid w:val="0"/>
          <w:color w:val="auto"/>
          <w:kern w:val="0"/>
          <w:sz w:val="32"/>
          <w:szCs w:val="32"/>
          <w:lang w:val="en-US" w:eastAsia="zh-CN"/>
        </w:rPr>
        <w:t>医药外包服务</w:t>
      </w:r>
    </w:p>
    <w:p>
      <w:pPr>
        <w:pStyle w:val="3"/>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发挥政府投资引导基金作用，积极引导社会资本对接医药企业，尤其是瞄准重大潜力领域和前沿方向，鼓励金融机构加大对生物医药临床前研究的支持力度，助推创新型企业加速成长。鼓励为临床研究提供保险保障，保险公司为参加临床试验的志愿者、患者提供相关保险服务。（责任部门：市发展改革委、市委金融办、市科技局、国家金融监管总局天津监管局、天津市海河产业基金管理有限公司）</w:t>
      </w:r>
    </w:p>
    <w:p>
      <w:pPr>
        <w:adjustRightInd w:val="0"/>
        <w:snapToGrid w:val="0"/>
        <w:spacing w:line="560" w:lineRule="exact"/>
        <w:ind w:firstLine="606" w:firstLineChars="200"/>
        <w:rPr>
          <w:rFonts w:hint="eastAsia" w:ascii="黑体" w:hAnsi="黑体" w:eastAsia="黑体" w:cs="Times New Roman"/>
          <w:snapToGrid w:val="0"/>
          <w:color w:val="auto"/>
          <w:kern w:val="0"/>
          <w:sz w:val="32"/>
          <w:szCs w:val="32"/>
          <w:lang w:eastAsia="zh-CN"/>
        </w:rPr>
      </w:pPr>
      <w:r>
        <w:rPr>
          <w:rFonts w:hint="eastAsia" w:ascii="黑体" w:hAnsi="黑体" w:eastAsia="黑体" w:cs="Times New Roman"/>
          <w:snapToGrid w:val="0"/>
          <w:color w:val="auto"/>
          <w:kern w:val="0"/>
          <w:sz w:val="32"/>
          <w:szCs w:val="32"/>
          <w:lang w:eastAsia="zh-CN"/>
        </w:rPr>
        <w:t>四、保障措施</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（一）建立</w:t>
      </w:r>
      <w:r>
        <w:rPr>
          <w:rFonts w:hint="eastAsia" w:ascii="楷体_GB2312" w:eastAsia="楷体_GB2312"/>
          <w:snapToGrid w:val="0"/>
          <w:color w:val="auto"/>
          <w:kern w:val="0"/>
          <w:sz w:val="32"/>
          <w:szCs w:val="32"/>
          <w:lang w:val="en-US" w:eastAsia="zh-CN"/>
        </w:rPr>
        <w:t>全市</w:t>
      </w:r>
      <w:r>
        <w:rPr>
          <w:rFonts w:hint="eastAsia" w:ascii="楷体_GB2312" w:eastAsia="楷体_GB2312"/>
          <w:snapToGrid w:val="0"/>
          <w:color w:val="auto"/>
          <w:kern w:val="0"/>
          <w:sz w:val="32"/>
          <w:szCs w:val="32"/>
        </w:rPr>
        <w:t>协调</w:t>
      </w:r>
      <w:r>
        <w:rPr>
          <w:rFonts w:hint="eastAsia" w:ascii="楷体_GB2312" w:eastAsia="楷体_GB2312"/>
          <w:snapToGrid w:val="0"/>
          <w:color w:val="auto"/>
          <w:kern w:val="0"/>
          <w:sz w:val="32"/>
          <w:szCs w:val="32"/>
          <w:lang w:val="en-US" w:eastAsia="zh-CN"/>
        </w:rPr>
        <w:t>组织</w:t>
      </w:r>
      <w:r>
        <w:rPr>
          <w:rFonts w:hint="eastAsia" w:ascii="楷体_GB2312" w:eastAsia="楷体_GB2312"/>
          <w:snapToGrid w:val="0"/>
          <w:color w:val="auto"/>
          <w:kern w:val="0"/>
          <w:sz w:val="32"/>
          <w:szCs w:val="32"/>
        </w:rPr>
        <w:t>机制</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组建由市领导牵头，包括科技、工信、卫健、药监、金融等有关部门，以及滨海新区和重点功能区共同参与的医药外包服务行业协调工作机制，明确各部门定位和主要职能，统筹推进行业发展重大事项，着力解决发展中的重点难点问题，加强部门联动，推动政策落实。</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二</w:t>
      </w: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val="en"/>
        </w:rPr>
        <w:t>强化</w:t>
      </w:r>
      <w:r>
        <w:rPr>
          <w:rFonts w:hint="eastAsia" w:ascii="楷体_GB2312" w:eastAsia="楷体_GB2312"/>
          <w:snapToGrid w:val="0"/>
          <w:color w:val="auto"/>
          <w:kern w:val="0"/>
          <w:sz w:val="32"/>
          <w:szCs w:val="32"/>
          <w:lang w:val="en" w:eastAsia="zh-CN"/>
        </w:rPr>
        <w:t>资金</w:t>
      </w:r>
      <w:r>
        <w:rPr>
          <w:rFonts w:hint="eastAsia" w:ascii="楷体_GB2312" w:eastAsia="楷体_GB2312"/>
          <w:snapToGrid w:val="0"/>
          <w:color w:val="auto"/>
          <w:kern w:val="0"/>
          <w:sz w:val="32"/>
          <w:szCs w:val="32"/>
          <w:lang w:val="en"/>
        </w:rPr>
        <w:t>保障</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推动重点区、企业、临床研究机构等积极争取国家发展改革委、科技部、工业和信息化部、国家卫生健康委、商务部等专项资金支持。统筹市科技局、市工业和信息化局等相关创新和产业支持政策，加大对医药外包服务行业的财政资金支持力度。</w:t>
      </w:r>
    </w:p>
    <w:p>
      <w:pPr>
        <w:adjustRightInd w:val="0"/>
        <w:snapToGrid w:val="0"/>
        <w:spacing w:line="560" w:lineRule="exact"/>
        <w:ind w:firstLine="606" w:firstLineChars="200"/>
        <w:rPr>
          <w:rFonts w:hint="eastAsia" w:ascii="楷体_GB2312" w:eastAsia="楷体_GB2312"/>
          <w:snapToGrid w:val="0"/>
          <w:color w:val="auto"/>
          <w:kern w:val="0"/>
          <w:sz w:val="32"/>
          <w:szCs w:val="32"/>
        </w:rPr>
      </w:pP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eastAsia="zh-CN"/>
        </w:rPr>
        <w:t>三</w:t>
      </w:r>
      <w:r>
        <w:rPr>
          <w:rFonts w:hint="eastAsia" w:ascii="楷体_GB2312" w:eastAsia="楷体_GB2312"/>
          <w:snapToGrid w:val="0"/>
          <w:color w:val="auto"/>
          <w:kern w:val="0"/>
          <w:sz w:val="32"/>
          <w:szCs w:val="32"/>
        </w:rPr>
        <w:t>）</w:t>
      </w:r>
      <w:r>
        <w:rPr>
          <w:rFonts w:hint="eastAsia" w:ascii="楷体_GB2312" w:eastAsia="楷体_GB2312"/>
          <w:snapToGrid w:val="0"/>
          <w:color w:val="auto"/>
          <w:kern w:val="0"/>
          <w:sz w:val="32"/>
          <w:szCs w:val="32"/>
          <w:lang w:val="en-US" w:eastAsia="zh-CN"/>
        </w:rPr>
        <w:t>推动</w:t>
      </w:r>
      <w:r>
        <w:rPr>
          <w:rFonts w:hint="eastAsia" w:ascii="楷体_GB2312" w:eastAsia="楷体_GB2312"/>
          <w:snapToGrid w:val="0"/>
          <w:color w:val="auto"/>
          <w:kern w:val="0"/>
          <w:sz w:val="32"/>
          <w:szCs w:val="32"/>
        </w:rPr>
        <w:t>京津冀协同发展</w:t>
      </w:r>
    </w:p>
    <w:p>
      <w:pPr>
        <w:adjustRightInd w:val="0"/>
        <w:snapToGrid w:val="0"/>
        <w:spacing w:line="560" w:lineRule="exact"/>
        <w:ind w:firstLine="606" w:firstLineChars="200"/>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深化医药外包服务领域京津冀协同发展，积极争取京冀生物医药领域创新成果在津落地。加快京津冀生命健康先进制造业集群建设，持续深化京津冀三地医药外包服务企业和生物医药企业、高校院所、医疗机构的交流合作，为集群企业提供专业化服务。</w:t>
      </w:r>
    </w:p>
    <w:p>
      <w:pPr>
        <w:pStyle w:val="3"/>
        <w:rPr>
          <w:rFonts w:hint="eastAsia"/>
          <w:color w:val="auto"/>
          <w:lang w:val="en-US" w:eastAsia="zh-CN"/>
        </w:rPr>
      </w:pPr>
    </w:p>
    <w:p>
      <w:pPr>
        <w:pStyle w:val="3"/>
        <w:rPr>
          <w:rFonts w:hint="eastAsia"/>
          <w:color w:val="auto"/>
          <w:lang w:val="en-US" w:eastAsia="zh-CN"/>
        </w:rPr>
      </w:pPr>
    </w:p>
    <w:p>
      <w:pPr>
        <w:pStyle w:val="4"/>
        <w:rPr>
          <w:rFonts w:hint="eastAsia"/>
          <w:color w:val="auto"/>
        </w:rPr>
      </w:pPr>
    </w:p>
    <w:p>
      <w:pPr>
        <w:pStyle w:val="4"/>
        <w:rPr>
          <w:rFonts w:hint="eastAsia"/>
          <w:color w:val="auto"/>
        </w:rPr>
      </w:pPr>
    </w:p>
    <w:p>
      <w:pPr>
        <w:tabs>
          <w:tab w:val="left" w:pos="7371"/>
          <w:tab w:val="left" w:pos="7513"/>
        </w:tabs>
        <w:adjustRightInd w:val="0"/>
        <w:snapToGrid w:val="0"/>
        <w:spacing w:line="560" w:lineRule="exact"/>
        <w:ind w:firstLine="606" w:firstLineChars="200"/>
        <w:rPr>
          <w:rFonts w:hint="eastAsia" w:ascii="楷体_GB2312" w:eastAsia="楷体_GB2312"/>
          <w:snapToGrid w:val="0"/>
          <w:color w:val="auto"/>
          <w:kern w:val="0"/>
          <w:sz w:val="32"/>
          <w:szCs w:val="32"/>
        </w:rPr>
      </w:pPr>
    </w:p>
    <w:p>
      <w:pPr>
        <w:adjustRightInd w:val="0"/>
        <w:snapToGrid w:val="0"/>
        <w:spacing w:line="560" w:lineRule="exact"/>
        <w:ind w:firstLine="606" w:firstLineChars="200"/>
        <w:rPr>
          <w:rFonts w:hint="eastAsia" w:eastAsia="仿宋_GB2312"/>
          <w:snapToGrid w:val="0"/>
          <w:color w:val="auto"/>
          <w:kern w:val="0"/>
          <w:sz w:val="32"/>
          <w:szCs w:val="32"/>
        </w:rPr>
      </w:pPr>
    </w:p>
    <w:p>
      <w:pPr>
        <w:ind w:right="-1" w:rightChars="-1" w:firstLine="263" w:firstLineChars="100"/>
        <w:rPr>
          <w:rFonts w:hint="eastAsia" w:ascii="仿宋_GB2312" w:eastAsia="仿宋_GB2312"/>
          <w:color w:val="auto"/>
          <w:sz w:val="28"/>
          <w:szCs w:val="28"/>
        </w:rPr>
      </w:pPr>
    </w:p>
    <w:sectPr>
      <w:headerReference r:id="rId3" w:type="default"/>
      <w:footerReference r:id="rId5" w:type="default"/>
      <w:headerReference r:id="rId4" w:type="even"/>
      <w:footerReference r:id="rId6"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NimbusRomNo9L">
    <w:altName w:val="仿宋"/>
    <w:panose1 w:val="01010103010101010101"/>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ind w:right="28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7"/>
                      <w:ind w:right="28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p>
                    <w:pPr>
                      <w:pStyle w:val="7"/>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48F"/>
    <w:rsid w:val="00046F69"/>
    <w:rsid w:val="00047EED"/>
    <w:rsid w:val="000546F5"/>
    <w:rsid w:val="00056CC5"/>
    <w:rsid w:val="00060CF3"/>
    <w:rsid w:val="00072218"/>
    <w:rsid w:val="00083430"/>
    <w:rsid w:val="00083F8C"/>
    <w:rsid w:val="000A4124"/>
    <w:rsid w:val="000B5FF0"/>
    <w:rsid w:val="000B6363"/>
    <w:rsid w:val="000B6B4C"/>
    <w:rsid w:val="000D3295"/>
    <w:rsid w:val="000D5F7A"/>
    <w:rsid w:val="00100C4E"/>
    <w:rsid w:val="001032D1"/>
    <w:rsid w:val="00107027"/>
    <w:rsid w:val="00163844"/>
    <w:rsid w:val="00166523"/>
    <w:rsid w:val="001A2DE2"/>
    <w:rsid w:val="001C0711"/>
    <w:rsid w:val="001D4F6B"/>
    <w:rsid w:val="001F2E84"/>
    <w:rsid w:val="001F4533"/>
    <w:rsid w:val="001F581A"/>
    <w:rsid w:val="00212C15"/>
    <w:rsid w:val="00216A1C"/>
    <w:rsid w:val="002305B4"/>
    <w:rsid w:val="00236910"/>
    <w:rsid w:val="00240AAF"/>
    <w:rsid w:val="00266704"/>
    <w:rsid w:val="00284EA7"/>
    <w:rsid w:val="002A7BE3"/>
    <w:rsid w:val="002B1651"/>
    <w:rsid w:val="002C284E"/>
    <w:rsid w:val="002C4980"/>
    <w:rsid w:val="002E404E"/>
    <w:rsid w:val="002E473F"/>
    <w:rsid w:val="002E7C55"/>
    <w:rsid w:val="002E7F7D"/>
    <w:rsid w:val="00302117"/>
    <w:rsid w:val="00307012"/>
    <w:rsid w:val="00332830"/>
    <w:rsid w:val="00344FFC"/>
    <w:rsid w:val="003472FE"/>
    <w:rsid w:val="003564B8"/>
    <w:rsid w:val="0036324B"/>
    <w:rsid w:val="00380103"/>
    <w:rsid w:val="003877A7"/>
    <w:rsid w:val="0039400E"/>
    <w:rsid w:val="00395355"/>
    <w:rsid w:val="003A0AC9"/>
    <w:rsid w:val="003A3DA5"/>
    <w:rsid w:val="003B29D8"/>
    <w:rsid w:val="003B38AB"/>
    <w:rsid w:val="003B3968"/>
    <w:rsid w:val="003D686D"/>
    <w:rsid w:val="003E5177"/>
    <w:rsid w:val="003E737B"/>
    <w:rsid w:val="003F5C26"/>
    <w:rsid w:val="00406175"/>
    <w:rsid w:val="00411811"/>
    <w:rsid w:val="00421FC7"/>
    <w:rsid w:val="004226FF"/>
    <w:rsid w:val="004405C3"/>
    <w:rsid w:val="00442A6F"/>
    <w:rsid w:val="00443C71"/>
    <w:rsid w:val="0044535C"/>
    <w:rsid w:val="0044668C"/>
    <w:rsid w:val="0045180F"/>
    <w:rsid w:val="00454417"/>
    <w:rsid w:val="004655FB"/>
    <w:rsid w:val="004720D1"/>
    <w:rsid w:val="004A07BE"/>
    <w:rsid w:val="004A2739"/>
    <w:rsid w:val="004A4E51"/>
    <w:rsid w:val="004B0A1A"/>
    <w:rsid w:val="004B5B63"/>
    <w:rsid w:val="004B6ABC"/>
    <w:rsid w:val="004C289E"/>
    <w:rsid w:val="004C3631"/>
    <w:rsid w:val="004D26C0"/>
    <w:rsid w:val="004F3D93"/>
    <w:rsid w:val="00506EAE"/>
    <w:rsid w:val="00533092"/>
    <w:rsid w:val="0055024E"/>
    <w:rsid w:val="0055385C"/>
    <w:rsid w:val="00557316"/>
    <w:rsid w:val="00560A51"/>
    <w:rsid w:val="00561059"/>
    <w:rsid w:val="0057569C"/>
    <w:rsid w:val="00577B4C"/>
    <w:rsid w:val="005860B8"/>
    <w:rsid w:val="005C06AF"/>
    <w:rsid w:val="005E38E6"/>
    <w:rsid w:val="005E6A9B"/>
    <w:rsid w:val="005F0582"/>
    <w:rsid w:val="005F0A0C"/>
    <w:rsid w:val="00606809"/>
    <w:rsid w:val="00607A73"/>
    <w:rsid w:val="006174A7"/>
    <w:rsid w:val="006222EE"/>
    <w:rsid w:val="006225AD"/>
    <w:rsid w:val="0064073B"/>
    <w:rsid w:val="00646DF0"/>
    <w:rsid w:val="00653696"/>
    <w:rsid w:val="00663A31"/>
    <w:rsid w:val="00664E24"/>
    <w:rsid w:val="0067276C"/>
    <w:rsid w:val="0067558D"/>
    <w:rsid w:val="00677C1D"/>
    <w:rsid w:val="00677D79"/>
    <w:rsid w:val="006838F7"/>
    <w:rsid w:val="006871A3"/>
    <w:rsid w:val="00691597"/>
    <w:rsid w:val="006A05AB"/>
    <w:rsid w:val="006A2A00"/>
    <w:rsid w:val="006F4EB6"/>
    <w:rsid w:val="00701D78"/>
    <w:rsid w:val="00711092"/>
    <w:rsid w:val="00733C03"/>
    <w:rsid w:val="00734B13"/>
    <w:rsid w:val="00736EB7"/>
    <w:rsid w:val="00751B1B"/>
    <w:rsid w:val="00753336"/>
    <w:rsid w:val="00754CAD"/>
    <w:rsid w:val="00756732"/>
    <w:rsid w:val="007615B2"/>
    <w:rsid w:val="007640B0"/>
    <w:rsid w:val="00780B93"/>
    <w:rsid w:val="007816D4"/>
    <w:rsid w:val="007B2D83"/>
    <w:rsid w:val="007D0AD9"/>
    <w:rsid w:val="007E0ACD"/>
    <w:rsid w:val="008003A1"/>
    <w:rsid w:val="00803B03"/>
    <w:rsid w:val="0080438F"/>
    <w:rsid w:val="0081210F"/>
    <w:rsid w:val="00830F62"/>
    <w:rsid w:val="00843C6D"/>
    <w:rsid w:val="008512B8"/>
    <w:rsid w:val="00857B86"/>
    <w:rsid w:val="00861F8F"/>
    <w:rsid w:val="008703DD"/>
    <w:rsid w:val="0088379F"/>
    <w:rsid w:val="00887228"/>
    <w:rsid w:val="008A65A2"/>
    <w:rsid w:val="008C1364"/>
    <w:rsid w:val="008C6F81"/>
    <w:rsid w:val="008D303B"/>
    <w:rsid w:val="008E078B"/>
    <w:rsid w:val="008E0BB9"/>
    <w:rsid w:val="009210E4"/>
    <w:rsid w:val="00924233"/>
    <w:rsid w:val="00932670"/>
    <w:rsid w:val="00934CBC"/>
    <w:rsid w:val="00943BFA"/>
    <w:rsid w:val="009634C8"/>
    <w:rsid w:val="00967814"/>
    <w:rsid w:val="0097316F"/>
    <w:rsid w:val="00974A79"/>
    <w:rsid w:val="0098582F"/>
    <w:rsid w:val="0098720A"/>
    <w:rsid w:val="00987666"/>
    <w:rsid w:val="009B117D"/>
    <w:rsid w:val="009B265E"/>
    <w:rsid w:val="009B273F"/>
    <w:rsid w:val="009B62F6"/>
    <w:rsid w:val="009C28DB"/>
    <w:rsid w:val="009F7282"/>
    <w:rsid w:val="00A0652C"/>
    <w:rsid w:val="00A271FD"/>
    <w:rsid w:val="00A324DD"/>
    <w:rsid w:val="00A441EB"/>
    <w:rsid w:val="00A456D6"/>
    <w:rsid w:val="00A461E7"/>
    <w:rsid w:val="00A5131D"/>
    <w:rsid w:val="00A51E02"/>
    <w:rsid w:val="00A55425"/>
    <w:rsid w:val="00A640FE"/>
    <w:rsid w:val="00A721F3"/>
    <w:rsid w:val="00AA5A4E"/>
    <w:rsid w:val="00AB067D"/>
    <w:rsid w:val="00AB0B06"/>
    <w:rsid w:val="00AB25A4"/>
    <w:rsid w:val="00AC7B35"/>
    <w:rsid w:val="00AD4BE8"/>
    <w:rsid w:val="00AE4E9E"/>
    <w:rsid w:val="00B03350"/>
    <w:rsid w:val="00B04A5D"/>
    <w:rsid w:val="00B0508F"/>
    <w:rsid w:val="00B063DE"/>
    <w:rsid w:val="00B13A78"/>
    <w:rsid w:val="00B2774B"/>
    <w:rsid w:val="00B4057A"/>
    <w:rsid w:val="00B40CB0"/>
    <w:rsid w:val="00B435AA"/>
    <w:rsid w:val="00B50BC0"/>
    <w:rsid w:val="00B87CD9"/>
    <w:rsid w:val="00B905BD"/>
    <w:rsid w:val="00B925B7"/>
    <w:rsid w:val="00B92693"/>
    <w:rsid w:val="00B957BC"/>
    <w:rsid w:val="00BA30C6"/>
    <w:rsid w:val="00BD0102"/>
    <w:rsid w:val="00BD18D1"/>
    <w:rsid w:val="00BE1878"/>
    <w:rsid w:val="00C07644"/>
    <w:rsid w:val="00C11C8F"/>
    <w:rsid w:val="00C359AB"/>
    <w:rsid w:val="00C47961"/>
    <w:rsid w:val="00C67352"/>
    <w:rsid w:val="00C95D69"/>
    <w:rsid w:val="00CA1F4C"/>
    <w:rsid w:val="00CB5900"/>
    <w:rsid w:val="00CC78A6"/>
    <w:rsid w:val="00CD5D5B"/>
    <w:rsid w:val="00CE12DB"/>
    <w:rsid w:val="00CE4F91"/>
    <w:rsid w:val="00CE7C32"/>
    <w:rsid w:val="00D00B1E"/>
    <w:rsid w:val="00D16175"/>
    <w:rsid w:val="00D5337E"/>
    <w:rsid w:val="00D63B97"/>
    <w:rsid w:val="00D8047C"/>
    <w:rsid w:val="00D9366D"/>
    <w:rsid w:val="00DA21F7"/>
    <w:rsid w:val="00DB345F"/>
    <w:rsid w:val="00DB38A9"/>
    <w:rsid w:val="00DB6AD6"/>
    <w:rsid w:val="00DE39EC"/>
    <w:rsid w:val="00DE75AF"/>
    <w:rsid w:val="00DF63D8"/>
    <w:rsid w:val="00E20513"/>
    <w:rsid w:val="00E34793"/>
    <w:rsid w:val="00E5598D"/>
    <w:rsid w:val="00E6116D"/>
    <w:rsid w:val="00E63ACA"/>
    <w:rsid w:val="00E6431C"/>
    <w:rsid w:val="00E65710"/>
    <w:rsid w:val="00E7395C"/>
    <w:rsid w:val="00E822E8"/>
    <w:rsid w:val="00E8386F"/>
    <w:rsid w:val="00E94D61"/>
    <w:rsid w:val="00EA487E"/>
    <w:rsid w:val="00EA6803"/>
    <w:rsid w:val="00EB2C93"/>
    <w:rsid w:val="00F029BA"/>
    <w:rsid w:val="00F1314D"/>
    <w:rsid w:val="00F207A1"/>
    <w:rsid w:val="00F21126"/>
    <w:rsid w:val="00F8347C"/>
    <w:rsid w:val="00F86262"/>
    <w:rsid w:val="00F97090"/>
    <w:rsid w:val="00FB7289"/>
    <w:rsid w:val="00FD217E"/>
    <w:rsid w:val="00FD287E"/>
    <w:rsid w:val="00FD69BA"/>
    <w:rsid w:val="1B3BF6F3"/>
    <w:rsid w:val="1FF76DAB"/>
    <w:rsid w:val="2FFF0375"/>
    <w:rsid w:val="37F74E09"/>
    <w:rsid w:val="38FFCE44"/>
    <w:rsid w:val="3BC8DAFF"/>
    <w:rsid w:val="3CF45FD7"/>
    <w:rsid w:val="3DF6DBC0"/>
    <w:rsid w:val="3F7FA05A"/>
    <w:rsid w:val="3FFE9783"/>
    <w:rsid w:val="4B1D0893"/>
    <w:rsid w:val="4EEF7D6F"/>
    <w:rsid w:val="57ED42FF"/>
    <w:rsid w:val="5A2F3F7E"/>
    <w:rsid w:val="5DFFB0DA"/>
    <w:rsid w:val="5E7BC99E"/>
    <w:rsid w:val="5EE75A36"/>
    <w:rsid w:val="5EFDCF4A"/>
    <w:rsid w:val="5F73E54F"/>
    <w:rsid w:val="69BD9604"/>
    <w:rsid w:val="6BB1C16C"/>
    <w:rsid w:val="6BDAAE12"/>
    <w:rsid w:val="6CBF0394"/>
    <w:rsid w:val="6CEF4429"/>
    <w:rsid w:val="6CFF0CC9"/>
    <w:rsid w:val="6EFC6B95"/>
    <w:rsid w:val="6F7A3605"/>
    <w:rsid w:val="6FEFACB6"/>
    <w:rsid w:val="71ECF842"/>
    <w:rsid w:val="77FEFFD6"/>
    <w:rsid w:val="77FF7B40"/>
    <w:rsid w:val="7ABFE0E1"/>
    <w:rsid w:val="7AF7CBDD"/>
    <w:rsid w:val="7B9BFAC9"/>
    <w:rsid w:val="7CEF6FF8"/>
    <w:rsid w:val="7E66C31B"/>
    <w:rsid w:val="7E7F269D"/>
    <w:rsid w:val="7FE55929"/>
    <w:rsid w:val="7FF95F59"/>
    <w:rsid w:val="7FFE4399"/>
    <w:rsid w:val="9F6D50B2"/>
    <w:rsid w:val="9FFC4C14"/>
    <w:rsid w:val="B4BFFB8C"/>
    <w:rsid w:val="B8FD9357"/>
    <w:rsid w:val="CBCBA01B"/>
    <w:rsid w:val="D5995820"/>
    <w:rsid w:val="DBB3B7D6"/>
    <w:rsid w:val="DD2F28F2"/>
    <w:rsid w:val="DD7FF1D9"/>
    <w:rsid w:val="DDC7939F"/>
    <w:rsid w:val="DF4D94A8"/>
    <w:rsid w:val="E77B3B0D"/>
    <w:rsid w:val="E7FE0C4B"/>
    <w:rsid w:val="E9FB2E07"/>
    <w:rsid w:val="EB5805CA"/>
    <w:rsid w:val="EBBB4D2B"/>
    <w:rsid w:val="EF6BE2E7"/>
    <w:rsid w:val="EF7F5633"/>
    <w:rsid w:val="F3FB85EF"/>
    <w:rsid w:val="F5B32F4D"/>
    <w:rsid w:val="F5FE809D"/>
    <w:rsid w:val="F77F495C"/>
    <w:rsid w:val="F7DC762A"/>
    <w:rsid w:val="F8E77CF3"/>
    <w:rsid w:val="F9B7CB27"/>
    <w:rsid w:val="FA7EB224"/>
    <w:rsid w:val="FADFBB40"/>
    <w:rsid w:val="FAFF9ADC"/>
    <w:rsid w:val="FB376F07"/>
    <w:rsid w:val="FB774C63"/>
    <w:rsid w:val="FB7F7191"/>
    <w:rsid w:val="FBD3348E"/>
    <w:rsid w:val="FE3E8FFC"/>
    <w:rsid w:val="FED7C4B7"/>
    <w:rsid w:val="FEFF7627"/>
    <w:rsid w:val="FF4ADDA2"/>
    <w:rsid w:val="FF7AA311"/>
    <w:rsid w:val="FFAB6F4A"/>
    <w:rsid w:val="FFEB9E35"/>
    <w:rsid w:val="FFFDB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4"/>
    <w:unhideWhenUsed/>
    <w:qFormat/>
    <w:uiPriority w:val="99"/>
    <w:pPr>
      <w:ind w:firstLine="420" w:firstLineChars="200"/>
    </w:pPr>
  </w:style>
  <w:style w:type="paragraph" w:styleId="4">
    <w:name w:val="envelope return"/>
    <w:qFormat/>
    <w:uiPriority w:val="0"/>
    <w:pPr>
      <w:widowControl w:val="0"/>
      <w:snapToGrid w:val="0"/>
      <w:jc w:val="both"/>
    </w:pPr>
    <w:rPr>
      <w:rFonts w:ascii="Arial" w:hAnsi="Arial" w:eastAsia="仿宋_GB2312" w:cs="仿宋_GB2312"/>
      <w:kern w:val="2"/>
      <w:sz w:val="32"/>
      <w:szCs w:val="24"/>
      <w:lang w:val="en-US" w:eastAsia="zh-CN" w:bidi="ar-SA"/>
    </w:r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脚 Char"/>
    <w:link w:val="7"/>
    <w:qFormat/>
    <w:uiPriority w:val="99"/>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165</Words>
  <Characters>947</Characters>
  <Lines>7</Lines>
  <Paragraphs>2</Paragraphs>
  <TotalTime>0</TotalTime>
  <ScaleCrop>false</ScaleCrop>
  <LinksUpToDate>false</LinksUpToDate>
  <CharactersWithSpaces>1110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2017-06-22T19:09:00Z</dcterms:created>
  <dc:creator>办公室</dc:creator>
  <cp:lastModifiedBy>高宁</cp:lastModifiedBy>
  <cp:lastPrinted>2024-06-03T11:40:00Z</cp:lastPrinted>
  <dcterms:modified xsi:type="dcterms:W3CDTF">2024-06-07T14:57:12Z</dcterms:modified>
  <dc:title>津经[2003]号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