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校院所类技术转移机构绩效评价表</w:t>
      </w:r>
    </w:p>
    <w:tbl>
      <w:tblPr>
        <w:tblStyle w:val="5"/>
        <w:tblW w:w="8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1.基础条件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1.1员工总数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1.3持证技术经理人（经纪人）数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1.4信息化服务平台（网站）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3.服务能力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（30分）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.1出台科技成果转化细则情况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.2制定科技成果转化流程图情况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.3专业技术转移机构建设情况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.4市场化合作机制情况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.5拥有法律、知识产权等专业人员情况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.服务绩效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（50分）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.1上年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技术合同项数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.2上年度技术合同登记额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.3面向科技管理、科研人员政策培训情况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在科服网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京津冀成果网发布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科技成果情况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.5举办科技成果转化活动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.6典型科技成果转化案例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3.7开展赋予科研人员所有权和长期使用权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4.规范管理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4.1机构章程、内部管理制度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2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5.社会信誉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5.1诚信度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829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5.2知名度和美誉度（媒体宣传情况）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行业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类技术转移机构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绩效评价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1.基础条件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1.1员工总数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1.2专职从事技术转移人员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1.3持证技术经理人（经纪人）数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1.4信息化服务平台情况（网站、新媒体等）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.服务能力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（25分）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.1上年度技术性/营业性收入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.2拥有法律、知识产权等专业服务人员情况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.3开展行业技术转移的硬件条件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 供本行业科技成果评估评价、专利导航与布局、技术集成与二次开发、提供中试与工程化等服务能力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.服务绩效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（50分）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.1上年度促成技术转移项目数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.2上年度促成技术交易额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.3面向行业内服务对象培训情况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在科服网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京津冀成果网发布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科技成果（技术需求）情况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.5举办科技成果转化活动情况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.6科技成果转化典型案例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4.规范管理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4.1健全的机构章程、内部管理制度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4.2客户管理制度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对外开展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服务项目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5.社会信誉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5.1诚信度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5.2知名度和美誉度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服务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类技术转移机构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绩效评价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表</w:t>
      </w:r>
    </w:p>
    <w:tbl>
      <w:tblPr>
        <w:tblStyle w:val="5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基础条件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1.1员工总数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1.2专职从事技术转移服务人员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1.3持证技术经理人（经纪人）数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1.4信息化服务平台情况（网站、新媒体等）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.服务能力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（25分）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.1开展相关服务具备的硬件、资质条件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.2在本行业开展服务的特色、优势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.3拥有法律、知识产权等专业服务人员情况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2.4服务手册、制定标准等软实力情况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.服务绩效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（50分）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.1相关服务绩效（技术交易、人才培养、成果评价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、知识产权、法律、投融资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.2（促成）技术交易额或技术性收入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.3服务企业情况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.4举办科技成果转化活动情况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科技成果转化典型案例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4.规范管理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4.1健全的机构章程、内部管理制度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4.2客户管理制度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对外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服务项目情况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4.4市场化技术转移合作机制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5.社会信誉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5.1诚信度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5.2知名度和美誉度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2"/>
          <w:sz w:val="36"/>
          <w:szCs w:val="36"/>
          <w:highlight w:val="none"/>
          <w:lang w:val="en-US" w:eastAsia="zh-CN" w:bidi="ar-SA"/>
        </w:rPr>
        <w:t>区域类技术转移机构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绩效评价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表</w:t>
      </w:r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tblHeader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1.基础条件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1.1专职从事技术转移人员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员工总数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1.2持技术经理人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经纪人证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书人员占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从事技术转移人员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从事技术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服务工作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.规范管理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服务能力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技术市场工作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的硬件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.2健全的机构章程、内部管理制度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2.3健全的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.服务绩效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.1年度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服务各行政区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合同成交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不低于本行政区年度工作目标的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.2年度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合同登记项数不少于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300项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.3面向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京津冀区域内开展政策宣讲不低于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2场，培训人数不少于100人次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.4面向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京津冀区域内开展各类成果供需对接活动不低于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3.5在科服网·京津冀成果网发布科技成果不低于20项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3.6在科服网·京津冀成果网发布技术需求不低于10项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eastAsia="zh-CN"/>
              </w:rPr>
              <w:t>社会信誉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实行一票否决制度</w:t>
            </w: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年内无泄露技术合同约定的技术秘密，无订立虚假技术合同或者以弄虚作假、骗取手段取得技术合同登记证明等违法违规行为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BF904"/>
    <w:multiLevelType w:val="singleLevel"/>
    <w:tmpl w:val="FFBBF90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zk0OWJmNTcyMzQ1Yzg4MDRmZmE2NzU1YjVkMjgifQ=="/>
  </w:docVars>
  <w:rsids>
    <w:rsidRoot w:val="58A22160"/>
    <w:rsid w:val="00F1191B"/>
    <w:rsid w:val="012F5F9F"/>
    <w:rsid w:val="034B4BE6"/>
    <w:rsid w:val="04410970"/>
    <w:rsid w:val="04CE3D21"/>
    <w:rsid w:val="07245E7A"/>
    <w:rsid w:val="087B7D1C"/>
    <w:rsid w:val="0E76520D"/>
    <w:rsid w:val="0E9912D9"/>
    <w:rsid w:val="0EAF24CD"/>
    <w:rsid w:val="0F9619C5"/>
    <w:rsid w:val="1FAB5662"/>
    <w:rsid w:val="274BAC88"/>
    <w:rsid w:val="277B2BD5"/>
    <w:rsid w:val="2944442E"/>
    <w:rsid w:val="2B591CE7"/>
    <w:rsid w:val="2F740E9D"/>
    <w:rsid w:val="31CE8B76"/>
    <w:rsid w:val="34EECE5F"/>
    <w:rsid w:val="36CF97DB"/>
    <w:rsid w:val="3735A22A"/>
    <w:rsid w:val="37DE34E0"/>
    <w:rsid w:val="3B333C93"/>
    <w:rsid w:val="3D0D2931"/>
    <w:rsid w:val="3D9FD2B9"/>
    <w:rsid w:val="3DFFB07B"/>
    <w:rsid w:val="43CC8345"/>
    <w:rsid w:val="4B3E3185"/>
    <w:rsid w:val="4D7D7E9B"/>
    <w:rsid w:val="4E96B0E1"/>
    <w:rsid w:val="4FAD2A0A"/>
    <w:rsid w:val="51FF7162"/>
    <w:rsid w:val="53FDC6CE"/>
    <w:rsid w:val="55B8D435"/>
    <w:rsid w:val="57914421"/>
    <w:rsid w:val="57E80FEC"/>
    <w:rsid w:val="58A22160"/>
    <w:rsid w:val="5A79010E"/>
    <w:rsid w:val="5B462AA8"/>
    <w:rsid w:val="5BDDFC17"/>
    <w:rsid w:val="5BFAAA83"/>
    <w:rsid w:val="5CB564CD"/>
    <w:rsid w:val="5D9F112C"/>
    <w:rsid w:val="5E2D6C0A"/>
    <w:rsid w:val="5EFACE83"/>
    <w:rsid w:val="5EFC1E56"/>
    <w:rsid w:val="5F76DC04"/>
    <w:rsid w:val="5FBDD0D3"/>
    <w:rsid w:val="5FBF903C"/>
    <w:rsid w:val="5FFC450F"/>
    <w:rsid w:val="5FFE4307"/>
    <w:rsid w:val="60F577E0"/>
    <w:rsid w:val="675B3101"/>
    <w:rsid w:val="67FF1689"/>
    <w:rsid w:val="6B5D2C60"/>
    <w:rsid w:val="6EF75CCE"/>
    <w:rsid w:val="6EFC54D1"/>
    <w:rsid w:val="6F7E0D3A"/>
    <w:rsid w:val="6FDDE21A"/>
    <w:rsid w:val="6FDF25CC"/>
    <w:rsid w:val="74FFE6E5"/>
    <w:rsid w:val="756508D0"/>
    <w:rsid w:val="76CF7911"/>
    <w:rsid w:val="773C3A1C"/>
    <w:rsid w:val="77538AD3"/>
    <w:rsid w:val="777F3542"/>
    <w:rsid w:val="7A37D0AE"/>
    <w:rsid w:val="7AB9DF68"/>
    <w:rsid w:val="7AF58A24"/>
    <w:rsid w:val="7B3F5B1B"/>
    <w:rsid w:val="7BE74A74"/>
    <w:rsid w:val="7BF13B77"/>
    <w:rsid w:val="7DAB366F"/>
    <w:rsid w:val="7DD945C2"/>
    <w:rsid w:val="7DDDBF78"/>
    <w:rsid w:val="7DDE09B3"/>
    <w:rsid w:val="7DDE3DB9"/>
    <w:rsid w:val="7DFFF180"/>
    <w:rsid w:val="7EFB37BA"/>
    <w:rsid w:val="7EFFE399"/>
    <w:rsid w:val="7FB56195"/>
    <w:rsid w:val="7FDF05D1"/>
    <w:rsid w:val="7FE70DDE"/>
    <w:rsid w:val="844B6C01"/>
    <w:rsid w:val="956B88B5"/>
    <w:rsid w:val="96F93042"/>
    <w:rsid w:val="9AFBC353"/>
    <w:rsid w:val="9EED323B"/>
    <w:rsid w:val="9EF55570"/>
    <w:rsid w:val="9F6F2B54"/>
    <w:rsid w:val="AA9FA04E"/>
    <w:rsid w:val="AD713434"/>
    <w:rsid w:val="B5BF9D85"/>
    <w:rsid w:val="B5FF0BFB"/>
    <w:rsid w:val="B5FF83DC"/>
    <w:rsid w:val="B6A7365E"/>
    <w:rsid w:val="BAEF5ACB"/>
    <w:rsid w:val="BBDB25A7"/>
    <w:rsid w:val="BFBF8E1F"/>
    <w:rsid w:val="BFE77891"/>
    <w:rsid w:val="BFEC9EC3"/>
    <w:rsid w:val="BFFFC49D"/>
    <w:rsid w:val="C7FE2A3F"/>
    <w:rsid w:val="CCBAEAD3"/>
    <w:rsid w:val="CF6FE28A"/>
    <w:rsid w:val="CF79D12E"/>
    <w:rsid w:val="D93DFD45"/>
    <w:rsid w:val="DAFBF099"/>
    <w:rsid w:val="DB2EDA98"/>
    <w:rsid w:val="DDB46FA1"/>
    <w:rsid w:val="DE7F600F"/>
    <w:rsid w:val="DF9628A1"/>
    <w:rsid w:val="DFF4B1CA"/>
    <w:rsid w:val="E9F4DFAF"/>
    <w:rsid w:val="EDB3FE5F"/>
    <w:rsid w:val="EDFCF1B2"/>
    <w:rsid w:val="EE870F7A"/>
    <w:rsid w:val="EF77F5F0"/>
    <w:rsid w:val="EFA73D8F"/>
    <w:rsid w:val="EFD75047"/>
    <w:rsid w:val="EFEB376A"/>
    <w:rsid w:val="EFFFF178"/>
    <w:rsid w:val="F0752697"/>
    <w:rsid w:val="F1DF2483"/>
    <w:rsid w:val="F3E752E4"/>
    <w:rsid w:val="F55FE9D2"/>
    <w:rsid w:val="F6AF4647"/>
    <w:rsid w:val="F6DF6075"/>
    <w:rsid w:val="F76F0B7D"/>
    <w:rsid w:val="F77089D5"/>
    <w:rsid w:val="F7F79DD6"/>
    <w:rsid w:val="F8FF19A7"/>
    <w:rsid w:val="F96F1FAA"/>
    <w:rsid w:val="F9DF39F8"/>
    <w:rsid w:val="FABF413A"/>
    <w:rsid w:val="FB8EB130"/>
    <w:rsid w:val="FB96FF1F"/>
    <w:rsid w:val="FBBDA5A7"/>
    <w:rsid w:val="FD399A82"/>
    <w:rsid w:val="FD4EEB9A"/>
    <w:rsid w:val="FD6EA862"/>
    <w:rsid w:val="FDB75C53"/>
    <w:rsid w:val="FDDB4B5B"/>
    <w:rsid w:val="FDECE47E"/>
    <w:rsid w:val="FDFC7DF4"/>
    <w:rsid w:val="FE7EDE75"/>
    <w:rsid w:val="FEE9B154"/>
    <w:rsid w:val="FEEFE279"/>
    <w:rsid w:val="FEFB495A"/>
    <w:rsid w:val="FF39C983"/>
    <w:rsid w:val="FF6FCE7B"/>
    <w:rsid w:val="FF9F81CE"/>
    <w:rsid w:val="FFAD0CF8"/>
    <w:rsid w:val="FFB47007"/>
    <w:rsid w:val="FFDCF00B"/>
    <w:rsid w:val="FF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1"/>
    <w:basedOn w:val="1"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hint="eastAsia"/>
      <w:kern w:val="2"/>
      <w:sz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5702</Words>
  <Characters>6239</Characters>
  <Lines>0</Lines>
  <Paragraphs>0</Paragraphs>
  <TotalTime>7</TotalTime>
  <ScaleCrop>false</ScaleCrop>
  <LinksUpToDate>false</LinksUpToDate>
  <CharactersWithSpaces>6293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2024-03-05T03:30:00Z</dcterms:created>
  <dc:creator>sasa</dc:creator>
  <cp:lastModifiedBy>kylin</cp:lastModifiedBy>
  <dcterms:modified xsi:type="dcterms:W3CDTF">2024-06-06T16:34:53Z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20120599544F4DC5B725D74DB9BE40FA_11</vt:lpwstr>
  </property>
</Properties>
</file>